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DD3" w:rsidRPr="00CF7661" w:rsidRDefault="00254DD3" w:rsidP="00A005CF">
      <w:pPr>
        <w:jc w:val="center"/>
        <w:rPr>
          <w:rFonts w:ascii="Times New Roman" w:hAnsi="Times New Roman"/>
          <w:b/>
          <w:i/>
          <w:sz w:val="22"/>
          <w:szCs w:val="22"/>
          <w:lang w:val="fr-BE"/>
        </w:rPr>
      </w:pP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Rapport du commissaire de </w:t>
      </w:r>
      <w:r w:rsidRPr="00CF7661">
        <w:rPr>
          <w:rFonts w:ascii="Times New Roman" w:hAnsi="Times New Roman"/>
          <w:b/>
          <w:i/>
          <w:sz w:val="22"/>
          <w:szCs w:val="22"/>
          <w:lang w:val="fr-BE"/>
        </w:rPr>
        <w:t>(identification de l’</w:t>
      </w:r>
      <w:r>
        <w:rPr>
          <w:rFonts w:ascii="Times New Roman" w:hAnsi="Times New Roman"/>
          <w:b/>
          <w:i/>
          <w:sz w:val="22"/>
          <w:szCs w:val="22"/>
          <w:lang w:val="fr-BE"/>
        </w:rPr>
        <w:t>entreprise</w:t>
      </w:r>
      <w:r w:rsidRPr="00CF7661">
        <w:rPr>
          <w:rFonts w:ascii="Times New Roman" w:hAnsi="Times New Roman"/>
          <w:b/>
          <w:i/>
          <w:sz w:val="22"/>
          <w:szCs w:val="22"/>
          <w:lang w:val="fr-BE"/>
        </w:rPr>
        <w:t>)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 à la </w:t>
      </w:r>
      <w:r w:rsidR="009A6394">
        <w:rPr>
          <w:rFonts w:ascii="Times New Roman" w:hAnsi="Times New Roman"/>
          <w:b/>
          <w:sz w:val="22"/>
          <w:szCs w:val="22"/>
          <w:lang w:val="fr-BE"/>
        </w:rPr>
        <w:t>FSMA</w:t>
      </w:r>
      <w:r w:rsidR="009A6394" w:rsidRPr="00CF7661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>conformément à l’article 4, §</w:t>
      </w:r>
      <w:r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3 de l’arrêté royal du 1er février 2010 déterminant les indices spécifiques visés à l’article </w:t>
      </w:r>
      <w:r w:rsidR="0063779A">
        <w:rPr>
          <w:rFonts w:ascii="Times New Roman" w:hAnsi="Times New Roman"/>
          <w:b/>
          <w:sz w:val="22"/>
          <w:szCs w:val="22"/>
          <w:lang w:val="fr-BE"/>
        </w:rPr>
        <w:t>204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>, §</w:t>
      </w:r>
      <w:r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3, de la </w:t>
      </w:r>
      <w:r w:rsidR="009A6394">
        <w:rPr>
          <w:rFonts w:ascii="Times New Roman" w:hAnsi="Times New Roman"/>
          <w:b/>
          <w:sz w:val="22"/>
          <w:szCs w:val="22"/>
          <w:lang w:val="fr-BE"/>
        </w:rPr>
        <w:t>L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oi </w:t>
      </w:r>
      <w:r w:rsidR="0063779A">
        <w:rPr>
          <w:rFonts w:ascii="Times New Roman" w:hAnsi="Times New Roman"/>
          <w:b/>
          <w:sz w:val="22"/>
          <w:szCs w:val="22"/>
          <w:lang w:val="fr-BE"/>
        </w:rPr>
        <w:t xml:space="preserve">relative aux assurances 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du </w:t>
      </w:r>
      <w:r w:rsidR="0063779A">
        <w:rPr>
          <w:rFonts w:ascii="Times New Roman" w:hAnsi="Times New Roman"/>
          <w:b/>
          <w:sz w:val="22"/>
          <w:szCs w:val="22"/>
          <w:lang w:val="fr-BE"/>
        </w:rPr>
        <w:t>4</w:t>
      </w:r>
      <w:r w:rsidR="0063779A" w:rsidRPr="00CF7661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="0063779A">
        <w:rPr>
          <w:rFonts w:ascii="Times New Roman" w:hAnsi="Times New Roman"/>
          <w:b/>
          <w:sz w:val="22"/>
          <w:szCs w:val="22"/>
          <w:lang w:val="fr-BE"/>
        </w:rPr>
        <w:t>avril</w:t>
      </w:r>
      <w:r w:rsidR="0063779A" w:rsidRPr="00CF7661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="0063779A">
        <w:rPr>
          <w:rFonts w:ascii="Times New Roman" w:hAnsi="Times New Roman"/>
          <w:b/>
          <w:sz w:val="22"/>
          <w:szCs w:val="22"/>
          <w:lang w:val="fr-BE"/>
        </w:rPr>
        <w:t>2014</w:t>
      </w:r>
      <w:r w:rsidR="0063779A" w:rsidRPr="00CF7661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="00F321D3">
        <w:rPr>
          <w:rFonts w:ascii="Times New Roman" w:hAnsi="Times New Roman"/>
          <w:b/>
          <w:sz w:val="22"/>
          <w:szCs w:val="22"/>
          <w:lang w:val="fr-BE"/>
        </w:rPr>
        <w:t>par rapport</w:t>
      </w:r>
      <w:r>
        <w:rPr>
          <w:rFonts w:ascii="Times New Roman" w:hAnsi="Times New Roman"/>
          <w:b/>
          <w:sz w:val="22"/>
          <w:szCs w:val="22"/>
          <w:lang w:val="fr-BE"/>
        </w:rPr>
        <w:t xml:space="preserve"> aux</w:t>
      </w:r>
      <w:r w:rsidRPr="00CF7661">
        <w:rPr>
          <w:rFonts w:ascii="Times New Roman" w:hAnsi="Times New Roman"/>
          <w:b/>
          <w:sz w:val="22"/>
          <w:szCs w:val="22"/>
          <w:lang w:val="fr-BE"/>
        </w:rPr>
        <w:t xml:space="preserve"> données </w:t>
      </w:r>
      <w:r w:rsidR="009A6394">
        <w:rPr>
          <w:rFonts w:ascii="Times New Roman" w:hAnsi="Times New Roman"/>
          <w:b/>
          <w:sz w:val="22"/>
          <w:szCs w:val="22"/>
          <w:lang w:val="fr-BE"/>
        </w:rPr>
        <w:t>de la</w:t>
      </w:r>
      <w:r w:rsidR="009A6394" w:rsidRPr="00CF7661">
        <w:rPr>
          <w:rFonts w:ascii="Times New Roman" w:hAnsi="Times New Roman"/>
          <w:b/>
          <w:sz w:val="22"/>
          <w:szCs w:val="22"/>
          <w:lang w:val="fr-BE"/>
        </w:rPr>
        <w:t xml:space="preserve"> </w:t>
      </w:r>
      <w:r w:rsidR="009A6394">
        <w:rPr>
          <w:rFonts w:ascii="Times New Roman" w:hAnsi="Times New Roman"/>
          <w:b/>
          <w:i/>
          <w:sz w:val="22"/>
          <w:szCs w:val="22"/>
          <w:lang w:val="fr-BE"/>
        </w:rPr>
        <w:t>période du 1</w:t>
      </w:r>
      <w:r w:rsidR="009A6394" w:rsidRPr="00CF564F">
        <w:rPr>
          <w:rFonts w:ascii="Times New Roman" w:hAnsi="Times New Roman"/>
          <w:b/>
          <w:i/>
          <w:sz w:val="22"/>
          <w:szCs w:val="22"/>
          <w:vertAlign w:val="superscript"/>
          <w:lang w:val="fr-BE"/>
        </w:rPr>
        <w:t>er</w:t>
      </w:r>
      <w:r w:rsidR="009A6394">
        <w:rPr>
          <w:rFonts w:ascii="Times New Roman" w:hAnsi="Times New Roman"/>
          <w:b/>
          <w:i/>
          <w:sz w:val="22"/>
          <w:szCs w:val="22"/>
          <w:lang w:val="fr-BE"/>
        </w:rPr>
        <w:t xml:space="preserve"> octobre </w:t>
      </w:r>
      <w:bookmarkStart w:id="0" w:name="_GoBack"/>
      <w:r w:rsidR="009A6394">
        <w:rPr>
          <w:rFonts w:ascii="Times New Roman" w:hAnsi="Times New Roman"/>
          <w:b/>
          <w:i/>
          <w:sz w:val="22"/>
          <w:szCs w:val="22"/>
          <w:lang w:val="fr-BE"/>
        </w:rPr>
        <w:t>201X</w:t>
      </w:r>
      <w:bookmarkEnd w:id="0"/>
      <w:r w:rsidR="009A6394">
        <w:rPr>
          <w:rFonts w:ascii="Times New Roman" w:hAnsi="Times New Roman"/>
          <w:b/>
          <w:i/>
          <w:sz w:val="22"/>
          <w:szCs w:val="22"/>
          <w:lang w:val="fr-BE"/>
        </w:rPr>
        <w:t xml:space="preserve"> à 30 septembre 201X</w:t>
      </w:r>
      <w:r w:rsidR="00207ECD">
        <w:rPr>
          <w:rFonts w:ascii="Times New Roman" w:hAnsi="Times New Roman"/>
          <w:b/>
          <w:i/>
          <w:sz w:val="22"/>
          <w:szCs w:val="22"/>
          <w:lang w:val="fr-BE"/>
        </w:rPr>
        <w:t>+1</w:t>
      </w:r>
    </w:p>
    <w:p w:rsidR="00254DD3" w:rsidRPr="00CF7661" w:rsidRDefault="00254DD3" w:rsidP="00A005CF">
      <w:pPr>
        <w:jc w:val="center"/>
        <w:rPr>
          <w:rFonts w:ascii="Times New Roman" w:hAnsi="Times New Roman"/>
          <w:i/>
          <w:sz w:val="22"/>
          <w:szCs w:val="22"/>
          <w:lang w:val="fr-BE"/>
        </w:rPr>
      </w:pPr>
    </w:p>
    <w:p w:rsidR="00254DD3" w:rsidRPr="00E12A20" w:rsidRDefault="00254DD3" w:rsidP="00343602">
      <w:pPr>
        <w:rPr>
          <w:rFonts w:ascii="Times New Roman" w:hAnsi="Times New Roman"/>
          <w:b/>
          <w:sz w:val="22"/>
          <w:szCs w:val="22"/>
          <w:lang w:val="fr-BE"/>
        </w:rPr>
      </w:pPr>
      <w:r>
        <w:rPr>
          <w:rFonts w:ascii="Times New Roman" w:hAnsi="Times New Roman"/>
          <w:b/>
          <w:sz w:val="22"/>
          <w:szCs w:val="22"/>
          <w:lang w:val="fr-BE"/>
        </w:rPr>
        <w:t>Mission</w:t>
      </w:r>
    </w:p>
    <w:p w:rsidR="00254DD3" w:rsidRPr="00E12A20" w:rsidRDefault="00254DD3" w:rsidP="00343602">
      <w:pPr>
        <w:rPr>
          <w:rFonts w:ascii="Times New Roman" w:hAnsi="Times New Roman"/>
          <w:sz w:val="22"/>
          <w:szCs w:val="22"/>
          <w:lang w:val="fr-BE"/>
        </w:rPr>
      </w:pP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  <w:r>
        <w:rPr>
          <w:rFonts w:ascii="Times New Roman" w:hAnsi="Times New Roman"/>
          <w:sz w:val="22"/>
          <w:szCs w:val="22"/>
          <w:lang w:val="fr-BE"/>
        </w:rPr>
        <w:t>Conformément à l’article 4, § 3 de l’arrêté royal du 1</w:t>
      </w:r>
      <w:r w:rsidRPr="00450262">
        <w:rPr>
          <w:rFonts w:ascii="Times New Roman" w:hAnsi="Times New Roman"/>
          <w:sz w:val="22"/>
          <w:szCs w:val="22"/>
          <w:vertAlign w:val="superscript"/>
          <w:lang w:val="fr-BE"/>
        </w:rPr>
        <w:t>er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 février 2010 déterminant les indices spécifiques visés à l’article </w:t>
      </w:r>
      <w:r w:rsidR="0063779A">
        <w:rPr>
          <w:rFonts w:ascii="Times New Roman" w:hAnsi="Times New Roman"/>
          <w:sz w:val="22"/>
          <w:szCs w:val="22"/>
          <w:lang w:val="fr-BE"/>
        </w:rPr>
        <w:t>204</w:t>
      </w:r>
      <w:r w:rsidRPr="00E12A20">
        <w:rPr>
          <w:rFonts w:ascii="Times New Roman" w:hAnsi="Times New Roman"/>
          <w:sz w:val="22"/>
          <w:szCs w:val="22"/>
          <w:lang w:val="fr-BE"/>
        </w:rPr>
        <w:t>, §</w:t>
      </w:r>
      <w:r>
        <w:rPr>
          <w:rFonts w:ascii="Times New Roman" w:hAnsi="Times New Roman"/>
          <w:sz w:val="22"/>
          <w:szCs w:val="22"/>
          <w:lang w:val="fr-BE"/>
        </w:rPr>
        <w:t xml:space="preserve"> 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3, de la </w:t>
      </w:r>
      <w:r w:rsidR="00DC7DE8">
        <w:rPr>
          <w:rFonts w:ascii="Times New Roman" w:hAnsi="Times New Roman"/>
          <w:sz w:val="22"/>
          <w:szCs w:val="22"/>
          <w:lang w:val="fr-BE"/>
        </w:rPr>
        <w:t>L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oi 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relative aux assurances 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du </w:t>
      </w:r>
      <w:r w:rsidR="0063779A">
        <w:rPr>
          <w:rFonts w:ascii="Times New Roman" w:hAnsi="Times New Roman"/>
          <w:sz w:val="22"/>
          <w:szCs w:val="22"/>
          <w:lang w:val="fr-BE"/>
        </w:rPr>
        <w:t>4</w:t>
      </w:r>
      <w:r w:rsidR="0063779A" w:rsidRPr="00E12A20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63779A">
        <w:rPr>
          <w:rFonts w:ascii="Times New Roman" w:hAnsi="Times New Roman"/>
          <w:sz w:val="22"/>
          <w:szCs w:val="22"/>
          <w:lang w:val="fr-BE"/>
        </w:rPr>
        <w:t>avril</w:t>
      </w:r>
      <w:r w:rsidR="0063779A" w:rsidRPr="00E12A20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63779A">
        <w:rPr>
          <w:rFonts w:ascii="Times New Roman" w:hAnsi="Times New Roman"/>
          <w:sz w:val="22"/>
          <w:szCs w:val="22"/>
          <w:lang w:val="fr-BE"/>
        </w:rPr>
        <w:t>2014</w:t>
      </w:r>
      <w:r w:rsidR="0063779A" w:rsidRPr="00E12A20">
        <w:rPr>
          <w:rFonts w:ascii="Times New Roman" w:hAnsi="Times New Roman"/>
          <w:sz w:val="22"/>
          <w:szCs w:val="22"/>
          <w:lang w:val="fr-BE"/>
        </w:rPr>
        <w:t xml:space="preserve"> </w:t>
      </w:r>
      <w:r>
        <w:rPr>
          <w:rFonts w:ascii="Times New Roman" w:hAnsi="Times New Roman"/>
          <w:sz w:val="22"/>
          <w:szCs w:val="22"/>
          <w:lang w:val="fr-BE"/>
        </w:rPr>
        <w:t>(</w:t>
      </w:r>
      <w:r w:rsidR="0063779A">
        <w:rPr>
          <w:rFonts w:ascii="Times New Roman" w:hAnsi="Times New Roman"/>
          <w:sz w:val="22"/>
          <w:szCs w:val="22"/>
          <w:lang w:val="fr-BE"/>
        </w:rPr>
        <w:t>indiqué ci-après comme « </w:t>
      </w:r>
      <w:r>
        <w:rPr>
          <w:rFonts w:ascii="Times New Roman" w:hAnsi="Times New Roman"/>
          <w:sz w:val="22"/>
          <w:szCs w:val="22"/>
          <w:lang w:val="fr-BE"/>
        </w:rPr>
        <w:t>l’arrêté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royal indice médical »</w:t>
      </w:r>
      <w:r>
        <w:rPr>
          <w:rFonts w:ascii="Times New Roman" w:hAnsi="Times New Roman"/>
          <w:sz w:val="22"/>
          <w:szCs w:val="22"/>
          <w:lang w:val="fr-BE"/>
        </w:rPr>
        <w:t xml:space="preserve">) </w:t>
      </w:r>
      <w:r w:rsidR="0063779A">
        <w:rPr>
          <w:rFonts w:ascii="Times New Roman" w:hAnsi="Times New Roman"/>
          <w:sz w:val="22"/>
          <w:szCs w:val="22"/>
          <w:lang w:val="fr-BE"/>
        </w:rPr>
        <w:t>comme modifié par l’arrêté royal du 18 mars 2016</w:t>
      </w:r>
      <w:r w:rsidR="00527E71">
        <w:rPr>
          <w:rFonts w:ascii="Times New Roman" w:hAnsi="Times New Roman"/>
          <w:sz w:val="22"/>
          <w:szCs w:val="22"/>
          <w:lang w:val="fr-BE"/>
        </w:rPr>
        <w:t xml:space="preserve"> et les instructions complémentaires de la FSMA du 4 avril 2017</w:t>
      </w:r>
      <w:r w:rsidR="0063779A">
        <w:rPr>
          <w:rFonts w:ascii="Times New Roman" w:hAnsi="Times New Roman"/>
          <w:sz w:val="22"/>
          <w:szCs w:val="22"/>
          <w:lang w:val="fr-BE"/>
        </w:rPr>
        <w:t>, les commissaires des entreprises d’assurances qui sont soumis</w:t>
      </w:r>
      <w:r w:rsidR="00F321D3">
        <w:rPr>
          <w:rFonts w:ascii="Times New Roman" w:hAnsi="Times New Roman"/>
          <w:sz w:val="22"/>
          <w:szCs w:val="22"/>
          <w:lang w:val="fr-BE"/>
        </w:rPr>
        <w:t>es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DC7DE8">
        <w:rPr>
          <w:rFonts w:ascii="Times New Roman" w:hAnsi="Times New Roman"/>
          <w:sz w:val="22"/>
          <w:szCs w:val="22"/>
          <w:lang w:val="fr-BE"/>
        </w:rPr>
        <w:t>aux dispositions de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la </w:t>
      </w:r>
      <w:r w:rsidR="00DC7DE8">
        <w:rPr>
          <w:rFonts w:ascii="Times New Roman" w:hAnsi="Times New Roman"/>
          <w:sz w:val="22"/>
          <w:szCs w:val="22"/>
          <w:lang w:val="fr-BE"/>
        </w:rPr>
        <w:t>L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oi du 13 mars 2016 et qui </w:t>
      </w:r>
      <w:r w:rsidR="00DC7DE8">
        <w:rPr>
          <w:rFonts w:ascii="Times New Roman" w:hAnsi="Times New Roman"/>
          <w:sz w:val="22"/>
          <w:szCs w:val="22"/>
          <w:lang w:val="fr-BE"/>
        </w:rPr>
        <w:t>pratiquent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la </w:t>
      </w:r>
      <w:r w:rsidR="00DC7DE8">
        <w:rPr>
          <w:rFonts w:ascii="Times New Roman" w:hAnsi="Times New Roman"/>
          <w:sz w:val="22"/>
          <w:szCs w:val="22"/>
          <w:lang w:val="fr-BE"/>
        </w:rPr>
        <w:t>branche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2 Maladie sont tenus de certifier les données pour le calcul des montants des </w:t>
      </w:r>
      <w:r w:rsidR="00DC7DE8">
        <w:rPr>
          <w:rFonts w:ascii="Times New Roman" w:hAnsi="Times New Roman"/>
          <w:sz w:val="22"/>
          <w:szCs w:val="22"/>
          <w:lang w:val="fr-BE"/>
        </w:rPr>
        <w:t>indices</w:t>
      </w:r>
      <w:r w:rsidR="0063779A">
        <w:rPr>
          <w:rFonts w:ascii="Times New Roman" w:hAnsi="Times New Roman"/>
          <w:sz w:val="22"/>
          <w:szCs w:val="22"/>
          <w:lang w:val="fr-BE"/>
        </w:rPr>
        <w:t xml:space="preserve"> spécifiques pour les contrats d’assurances soins de santé autres que ceux liés à l’activité professionnelle (i.e. </w:t>
      </w:r>
      <w:r w:rsidR="007F6B8C">
        <w:rPr>
          <w:rFonts w:ascii="Times New Roman" w:hAnsi="Times New Roman"/>
          <w:sz w:val="22"/>
          <w:szCs w:val="22"/>
          <w:lang w:val="fr-BE"/>
        </w:rPr>
        <w:t>déclaration annuelle de la charge brute</w:t>
      </w:r>
      <w:r w:rsidR="0054471C">
        <w:rPr>
          <w:rFonts w:ascii="Times New Roman" w:hAnsi="Times New Roman"/>
          <w:sz w:val="22"/>
          <w:szCs w:val="22"/>
          <w:lang w:val="fr-BE"/>
        </w:rPr>
        <w:t xml:space="preserve"> des sinistres</w:t>
      </w:r>
      <w:r w:rsidR="007F6B8C">
        <w:rPr>
          <w:rFonts w:ascii="Times New Roman" w:hAnsi="Times New Roman"/>
          <w:sz w:val="22"/>
          <w:szCs w:val="22"/>
          <w:lang w:val="fr-BE"/>
        </w:rPr>
        <w:t xml:space="preserve"> par type de garantie et par </w:t>
      </w:r>
      <w:r w:rsidR="00E74518">
        <w:rPr>
          <w:rFonts w:ascii="Times New Roman" w:hAnsi="Times New Roman"/>
          <w:sz w:val="22"/>
          <w:szCs w:val="22"/>
          <w:lang w:val="fr-BE"/>
        </w:rPr>
        <w:t>catégorie</w:t>
      </w:r>
      <w:r w:rsidR="007F6B8C">
        <w:rPr>
          <w:rFonts w:ascii="Times New Roman" w:hAnsi="Times New Roman"/>
          <w:sz w:val="22"/>
          <w:szCs w:val="22"/>
          <w:lang w:val="fr-BE"/>
        </w:rPr>
        <w:t xml:space="preserve"> d’âge pour les contrats d’assurance soins de santé autres que ceux liés à l’activité professionnelle</w:t>
      </w:r>
      <w:r w:rsidR="00527E71">
        <w:rPr>
          <w:rFonts w:ascii="Times New Roman" w:hAnsi="Times New Roman"/>
          <w:sz w:val="22"/>
          <w:szCs w:val="22"/>
          <w:lang w:val="fr-BE"/>
        </w:rPr>
        <w:t>,</w:t>
      </w:r>
      <w:r w:rsidR="007F6B8C">
        <w:rPr>
          <w:rFonts w:ascii="Times New Roman" w:hAnsi="Times New Roman"/>
          <w:sz w:val="22"/>
          <w:szCs w:val="22"/>
          <w:lang w:val="fr-BE"/>
        </w:rPr>
        <w:t xml:space="preserve"> la déclaration annuelle du nombre d’assurés par type de garantie et </w:t>
      </w:r>
      <w:r w:rsidR="00DC7DE8">
        <w:rPr>
          <w:rFonts w:ascii="Times New Roman" w:hAnsi="Times New Roman"/>
          <w:sz w:val="22"/>
          <w:szCs w:val="22"/>
          <w:lang w:val="fr-BE"/>
        </w:rPr>
        <w:t>catégorie</w:t>
      </w:r>
      <w:r w:rsidR="007F6B8C">
        <w:rPr>
          <w:rFonts w:ascii="Times New Roman" w:hAnsi="Times New Roman"/>
          <w:sz w:val="22"/>
          <w:szCs w:val="22"/>
          <w:lang w:val="fr-BE"/>
        </w:rPr>
        <w:t xml:space="preserve"> d’âge</w:t>
      </w:r>
      <w:r w:rsidR="00527E71">
        <w:rPr>
          <w:rFonts w:ascii="Times New Roman" w:hAnsi="Times New Roman"/>
          <w:sz w:val="22"/>
          <w:szCs w:val="22"/>
          <w:lang w:val="fr-BE"/>
        </w:rPr>
        <w:t xml:space="preserve"> et </w:t>
      </w:r>
      <w:r w:rsidR="00DC7DE8">
        <w:rPr>
          <w:rFonts w:ascii="Times New Roman" w:hAnsi="Times New Roman"/>
          <w:sz w:val="22"/>
          <w:szCs w:val="22"/>
          <w:lang w:val="fr-BE"/>
        </w:rPr>
        <w:t>l’</w:t>
      </w:r>
      <w:r w:rsidR="00527E71">
        <w:rPr>
          <w:rFonts w:ascii="Times New Roman" w:hAnsi="Times New Roman"/>
          <w:sz w:val="22"/>
          <w:szCs w:val="22"/>
          <w:lang w:val="fr-BE"/>
        </w:rPr>
        <w:t>encaissement</w:t>
      </w:r>
      <w:r w:rsidR="007F6B8C">
        <w:rPr>
          <w:rFonts w:ascii="Times New Roman" w:hAnsi="Times New Roman"/>
          <w:sz w:val="22"/>
          <w:szCs w:val="22"/>
          <w:lang w:val="fr-BE"/>
        </w:rPr>
        <w:t>)</w:t>
      </w:r>
      <w:r>
        <w:rPr>
          <w:rFonts w:ascii="Times New Roman" w:hAnsi="Times New Roman"/>
          <w:sz w:val="22"/>
          <w:szCs w:val="22"/>
          <w:lang w:val="fr-BE"/>
        </w:rPr>
        <w:t xml:space="preserve">. </w:t>
      </w: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  <w:r>
        <w:rPr>
          <w:rFonts w:ascii="Times New Roman" w:hAnsi="Times New Roman"/>
          <w:sz w:val="22"/>
          <w:szCs w:val="22"/>
          <w:lang w:val="fr-BE"/>
        </w:rPr>
        <w:t xml:space="preserve">L’établissement des données conformément </w:t>
      </w:r>
      <w:r w:rsidR="00086BC1">
        <w:rPr>
          <w:rFonts w:ascii="Times New Roman" w:hAnsi="Times New Roman"/>
          <w:sz w:val="22"/>
          <w:szCs w:val="22"/>
          <w:lang w:val="fr-BE"/>
        </w:rPr>
        <w:t xml:space="preserve">aux </w:t>
      </w:r>
      <w:r w:rsidR="00DC7DE8">
        <w:rPr>
          <w:rFonts w:ascii="Times New Roman" w:hAnsi="Times New Roman"/>
          <w:sz w:val="22"/>
          <w:szCs w:val="22"/>
          <w:lang w:val="fr-BE"/>
        </w:rPr>
        <w:t>dispositions</w:t>
      </w:r>
      <w:r w:rsidR="00086BC1"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E74518">
        <w:rPr>
          <w:rFonts w:ascii="Times New Roman" w:hAnsi="Times New Roman"/>
          <w:sz w:val="22"/>
          <w:szCs w:val="22"/>
          <w:lang w:val="fr-BE"/>
        </w:rPr>
        <w:t>définies</w:t>
      </w:r>
      <w:r w:rsidR="00086BC1">
        <w:rPr>
          <w:rFonts w:ascii="Times New Roman" w:hAnsi="Times New Roman"/>
          <w:sz w:val="22"/>
          <w:szCs w:val="22"/>
          <w:lang w:val="fr-BE"/>
        </w:rPr>
        <w:t xml:space="preserve"> à</w:t>
      </w:r>
      <w:r w:rsidR="007F6B8C">
        <w:rPr>
          <w:rFonts w:ascii="Times New Roman" w:hAnsi="Times New Roman"/>
          <w:sz w:val="22"/>
          <w:szCs w:val="22"/>
          <w:lang w:val="fr-BE"/>
        </w:rPr>
        <w:t xml:space="preserve"> la date de ce rapport</w:t>
      </w:r>
      <w:r w:rsidR="00086BC1">
        <w:rPr>
          <w:rFonts w:ascii="Times New Roman" w:hAnsi="Times New Roman"/>
          <w:sz w:val="22"/>
          <w:szCs w:val="22"/>
          <w:lang w:val="fr-BE"/>
        </w:rPr>
        <w:t xml:space="preserve"> par l’arrêté royal indice médical et les instructions supplémentaires de la FSMA du 4 avril 2017</w:t>
      </w:r>
      <w:r w:rsidRPr="00450262">
        <w:rPr>
          <w:rFonts w:ascii="Times New Roman" w:hAnsi="Times New Roman"/>
          <w:sz w:val="22"/>
          <w:szCs w:val="22"/>
          <w:lang w:val="fr-BE"/>
        </w:rPr>
        <w:t xml:space="preserve"> </w:t>
      </w:r>
      <w:r>
        <w:rPr>
          <w:rFonts w:ascii="Times New Roman" w:hAnsi="Times New Roman"/>
          <w:sz w:val="22"/>
          <w:szCs w:val="22"/>
          <w:lang w:val="fr-BE"/>
        </w:rPr>
        <w:t>relève de</w:t>
      </w:r>
      <w:r w:rsidRPr="00450262">
        <w:rPr>
          <w:rFonts w:ascii="Times New Roman" w:hAnsi="Times New Roman"/>
          <w:sz w:val="22"/>
          <w:szCs w:val="22"/>
          <w:lang w:val="fr-BE"/>
        </w:rPr>
        <w:t xml:space="preserve"> la responsabilité </w:t>
      </w:r>
      <w:r w:rsidR="00086BC1">
        <w:rPr>
          <w:rFonts w:ascii="Times New Roman" w:hAnsi="Times New Roman"/>
          <w:sz w:val="22"/>
          <w:szCs w:val="22"/>
          <w:lang w:val="fr-BE"/>
        </w:rPr>
        <w:t>du comité de direction</w:t>
      </w:r>
      <w:r w:rsidRPr="00450262">
        <w:rPr>
          <w:rFonts w:ascii="Times New Roman" w:hAnsi="Times New Roman"/>
          <w:sz w:val="22"/>
          <w:szCs w:val="22"/>
          <w:lang w:val="fr-BE"/>
        </w:rPr>
        <w:t xml:space="preserve"> de </w:t>
      </w:r>
      <w:r w:rsidRPr="00450262">
        <w:rPr>
          <w:rFonts w:ascii="Times New Roman" w:hAnsi="Times New Roman"/>
          <w:i/>
          <w:sz w:val="22"/>
          <w:szCs w:val="22"/>
          <w:lang w:val="fr-BE"/>
        </w:rPr>
        <w:t>(identification de l’</w:t>
      </w:r>
      <w:r>
        <w:rPr>
          <w:rFonts w:ascii="Times New Roman" w:hAnsi="Times New Roman"/>
          <w:i/>
          <w:sz w:val="22"/>
          <w:szCs w:val="22"/>
          <w:lang w:val="fr-BE"/>
        </w:rPr>
        <w:t>entreprise</w:t>
      </w:r>
      <w:r w:rsidRPr="00450262">
        <w:rPr>
          <w:rFonts w:ascii="Times New Roman" w:hAnsi="Times New Roman"/>
          <w:i/>
          <w:sz w:val="22"/>
          <w:szCs w:val="22"/>
          <w:lang w:val="fr-BE"/>
        </w:rPr>
        <w:t xml:space="preserve">) </w:t>
      </w:r>
      <w:r w:rsidR="00E74518" w:rsidRPr="00CF564F">
        <w:rPr>
          <w:rFonts w:ascii="Times New Roman" w:hAnsi="Times New Roman"/>
          <w:sz w:val="22"/>
          <w:szCs w:val="22"/>
          <w:lang w:val="fr-BE"/>
        </w:rPr>
        <w:t xml:space="preserve">(ci-après l’Entité) </w:t>
      </w:r>
      <w:r w:rsidRPr="00E74518">
        <w:rPr>
          <w:rFonts w:ascii="Times New Roman" w:hAnsi="Times New Roman"/>
          <w:sz w:val="22"/>
          <w:szCs w:val="22"/>
          <w:lang w:val="fr-BE"/>
        </w:rPr>
        <w:t>sous la</w:t>
      </w:r>
      <w:r w:rsidRPr="00450262">
        <w:rPr>
          <w:rFonts w:ascii="Times New Roman" w:hAnsi="Times New Roman"/>
          <w:sz w:val="22"/>
          <w:szCs w:val="22"/>
          <w:lang w:val="fr-BE"/>
        </w:rPr>
        <w:t xml:space="preserve"> surveillance du Conseil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 d’administration. </w:t>
      </w: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  <w:r>
        <w:rPr>
          <w:rFonts w:ascii="Times New Roman" w:hAnsi="Times New Roman"/>
          <w:sz w:val="22"/>
          <w:szCs w:val="22"/>
          <w:lang w:val="fr-BE"/>
        </w:rPr>
        <w:t>N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otre responsabilité </w:t>
      </w:r>
      <w:r>
        <w:rPr>
          <w:rFonts w:ascii="Times New Roman" w:hAnsi="Times New Roman"/>
          <w:sz w:val="22"/>
          <w:szCs w:val="22"/>
          <w:lang w:val="fr-BE"/>
        </w:rPr>
        <w:t>est de formuler</w:t>
      </w:r>
      <w:r w:rsidRPr="00E12A20">
        <w:rPr>
          <w:rFonts w:ascii="Times New Roman" w:hAnsi="Times New Roman"/>
          <w:sz w:val="22"/>
          <w:szCs w:val="22"/>
          <w:lang w:val="fr-BE"/>
        </w:rPr>
        <w:t xml:space="preserve"> une </w:t>
      </w:r>
      <w:r w:rsidRPr="00450262">
        <w:rPr>
          <w:rFonts w:ascii="Times New Roman" w:hAnsi="Times New Roman"/>
          <w:sz w:val="22"/>
          <w:szCs w:val="22"/>
          <w:lang w:val="fr-BE"/>
        </w:rPr>
        <w:t>conclusion sur les données</w:t>
      </w:r>
      <w:r w:rsidR="00490075">
        <w:rPr>
          <w:rFonts w:ascii="Times New Roman" w:hAnsi="Times New Roman"/>
          <w:sz w:val="22"/>
          <w:szCs w:val="22"/>
          <w:lang w:val="fr-BE"/>
        </w:rPr>
        <w:t xml:space="preserve"> annuelles</w:t>
      </w:r>
      <w:r>
        <w:rPr>
          <w:rFonts w:ascii="Times New Roman" w:hAnsi="Times New Roman"/>
          <w:sz w:val="22"/>
          <w:szCs w:val="22"/>
          <w:lang w:val="fr-BE"/>
        </w:rPr>
        <w:t xml:space="preserve"> établies par </w:t>
      </w:r>
      <w:r w:rsidR="00E74518" w:rsidRPr="00CF564F">
        <w:rPr>
          <w:rFonts w:ascii="Times New Roman" w:hAnsi="Times New Roman"/>
          <w:sz w:val="22"/>
          <w:szCs w:val="22"/>
          <w:lang w:val="fr-BE"/>
        </w:rPr>
        <w:t>l’</w:t>
      </w:r>
      <w:r w:rsidR="00E74518">
        <w:rPr>
          <w:rFonts w:ascii="Times New Roman" w:hAnsi="Times New Roman"/>
          <w:sz w:val="22"/>
          <w:szCs w:val="22"/>
          <w:lang w:val="fr-BE"/>
        </w:rPr>
        <w:t>E</w:t>
      </w:r>
      <w:r w:rsidR="00E74518" w:rsidRPr="00CF564F">
        <w:rPr>
          <w:rFonts w:ascii="Times New Roman" w:hAnsi="Times New Roman"/>
          <w:sz w:val="22"/>
          <w:szCs w:val="22"/>
          <w:lang w:val="fr-BE"/>
        </w:rPr>
        <w:t>ntité</w:t>
      </w:r>
      <w:r w:rsidRPr="00E74518">
        <w:rPr>
          <w:rFonts w:ascii="Times New Roman" w:hAnsi="Times New Roman"/>
          <w:sz w:val="22"/>
          <w:szCs w:val="22"/>
          <w:lang w:val="fr-BE"/>
        </w:rPr>
        <w:t xml:space="preserve"> relati</w:t>
      </w:r>
      <w:r w:rsidR="0054471C" w:rsidRPr="00E74518">
        <w:rPr>
          <w:rFonts w:ascii="Times New Roman" w:hAnsi="Times New Roman"/>
          <w:sz w:val="22"/>
          <w:szCs w:val="22"/>
          <w:lang w:val="fr-BE"/>
        </w:rPr>
        <w:t>ve</w:t>
      </w:r>
      <w:r>
        <w:rPr>
          <w:rFonts w:ascii="Times New Roman" w:hAnsi="Times New Roman"/>
          <w:sz w:val="22"/>
          <w:szCs w:val="22"/>
          <w:lang w:val="fr-BE"/>
        </w:rPr>
        <w:t xml:space="preserve"> </w:t>
      </w:r>
      <w:r w:rsidR="0054471C">
        <w:rPr>
          <w:rFonts w:ascii="Times New Roman" w:hAnsi="Times New Roman"/>
          <w:sz w:val="22"/>
          <w:szCs w:val="22"/>
          <w:lang w:val="fr-BE"/>
        </w:rPr>
        <w:t xml:space="preserve">à la charge brute des sinistres par type de garantie et par </w:t>
      </w:r>
      <w:r w:rsidR="00E74518">
        <w:rPr>
          <w:rFonts w:ascii="Times New Roman" w:hAnsi="Times New Roman"/>
          <w:sz w:val="22"/>
          <w:szCs w:val="22"/>
          <w:lang w:val="fr-BE"/>
        </w:rPr>
        <w:t>catégorie</w:t>
      </w:r>
      <w:r w:rsidR="0054471C">
        <w:rPr>
          <w:rFonts w:ascii="Times New Roman" w:hAnsi="Times New Roman"/>
          <w:sz w:val="22"/>
          <w:szCs w:val="22"/>
          <w:lang w:val="fr-BE"/>
        </w:rPr>
        <w:t xml:space="preserve"> d’âge pour les contrats d’assurances soins de santé autres que ceux liés à l’activité professionnelle ainsi que le nombre d’assurés par type de garantie et par </w:t>
      </w:r>
      <w:r w:rsidR="00E74518">
        <w:rPr>
          <w:rFonts w:ascii="Times New Roman" w:hAnsi="Times New Roman"/>
          <w:sz w:val="22"/>
          <w:szCs w:val="22"/>
          <w:lang w:val="fr-BE"/>
        </w:rPr>
        <w:t>catégorie</w:t>
      </w:r>
      <w:r w:rsidR="0054471C">
        <w:rPr>
          <w:rFonts w:ascii="Times New Roman" w:hAnsi="Times New Roman"/>
          <w:sz w:val="22"/>
          <w:szCs w:val="22"/>
          <w:lang w:val="fr-BE"/>
        </w:rPr>
        <w:t xml:space="preserve"> d’âge pour la période du </w:t>
      </w:r>
      <w:r w:rsidR="00E74518">
        <w:rPr>
          <w:rFonts w:ascii="Times New Roman" w:hAnsi="Times New Roman"/>
          <w:sz w:val="22"/>
          <w:szCs w:val="22"/>
          <w:lang w:val="fr-BE"/>
        </w:rPr>
        <w:t>1</w:t>
      </w:r>
      <w:r w:rsidR="00E74518" w:rsidRPr="00CF564F">
        <w:rPr>
          <w:rFonts w:ascii="Times New Roman" w:hAnsi="Times New Roman"/>
          <w:sz w:val="22"/>
          <w:szCs w:val="22"/>
          <w:vertAlign w:val="superscript"/>
          <w:lang w:val="fr-BE"/>
        </w:rPr>
        <w:t>er</w:t>
      </w:r>
      <w:r w:rsidR="00E74518">
        <w:rPr>
          <w:rFonts w:ascii="Times New Roman" w:hAnsi="Times New Roman"/>
          <w:sz w:val="22"/>
          <w:szCs w:val="22"/>
          <w:lang w:val="fr-BE"/>
        </w:rPr>
        <w:t xml:space="preserve"> octobre 201X à 30 septembre 201X</w:t>
      </w:r>
      <w:r w:rsidR="00207ECD">
        <w:rPr>
          <w:rFonts w:ascii="Times New Roman" w:hAnsi="Times New Roman"/>
          <w:sz w:val="22"/>
          <w:szCs w:val="22"/>
          <w:lang w:val="fr-BE"/>
        </w:rPr>
        <w:t>+1</w:t>
      </w:r>
      <w:r w:rsidR="00700CF2" w:rsidRPr="00CF564F">
        <w:rPr>
          <w:rFonts w:ascii="Times New Roman" w:hAnsi="Times New Roman"/>
          <w:sz w:val="22"/>
          <w:szCs w:val="22"/>
          <w:lang w:val="fr-BE"/>
        </w:rPr>
        <w:t xml:space="preserve"> ainsi que </w:t>
      </w:r>
      <w:r w:rsidR="00E74518">
        <w:rPr>
          <w:rFonts w:ascii="Times New Roman" w:hAnsi="Times New Roman"/>
          <w:sz w:val="22"/>
          <w:szCs w:val="22"/>
          <w:lang w:val="fr-BE"/>
        </w:rPr>
        <w:t>l</w:t>
      </w:r>
      <w:r w:rsidR="00700CF2" w:rsidRPr="00CF564F">
        <w:rPr>
          <w:rFonts w:ascii="Times New Roman" w:hAnsi="Times New Roman"/>
          <w:sz w:val="22"/>
          <w:szCs w:val="22"/>
          <w:lang w:val="fr-BE"/>
        </w:rPr>
        <w:t>’</w:t>
      </w:r>
      <w:r w:rsidR="00E74518" w:rsidRPr="00700CF2">
        <w:rPr>
          <w:rFonts w:ascii="Times New Roman" w:hAnsi="Times New Roman"/>
          <w:sz w:val="22"/>
          <w:szCs w:val="22"/>
          <w:lang w:val="fr-BE"/>
        </w:rPr>
        <w:t>encaissement</w:t>
      </w:r>
      <w:r w:rsidR="00700CF2" w:rsidRPr="00CF564F">
        <w:rPr>
          <w:rFonts w:ascii="Times New Roman" w:hAnsi="Times New Roman"/>
          <w:sz w:val="22"/>
          <w:szCs w:val="22"/>
          <w:lang w:val="fr-BE"/>
        </w:rPr>
        <w:t xml:space="preserve"> relative à l’année calendrier 201</w:t>
      </w:r>
      <w:r w:rsidR="00E74518">
        <w:rPr>
          <w:rFonts w:ascii="Times New Roman" w:hAnsi="Times New Roman"/>
          <w:sz w:val="22"/>
          <w:szCs w:val="22"/>
          <w:lang w:val="fr-BE"/>
        </w:rPr>
        <w:t>X</w:t>
      </w:r>
      <w:r w:rsidR="00A33C29">
        <w:rPr>
          <w:rFonts w:ascii="Times New Roman" w:hAnsi="Times New Roman"/>
          <w:sz w:val="22"/>
          <w:szCs w:val="22"/>
          <w:lang w:val="fr-BE"/>
        </w:rPr>
        <w:t>+1</w:t>
      </w:r>
      <w:r w:rsidRPr="00AB3A90">
        <w:rPr>
          <w:rFonts w:ascii="Times New Roman" w:hAnsi="Times New Roman"/>
          <w:sz w:val="22"/>
          <w:szCs w:val="22"/>
          <w:lang w:val="fr-BE"/>
        </w:rPr>
        <w:t xml:space="preserve"> </w:t>
      </w:r>
      <w:r>
        <w:rPr>
          <w:rFonts w:ascii="Times New Roman" w:hAnsi="Times New Roman"/>
          <w:sz w:val="22"/>
          <w:szCs w:val="22"/>
          <w:lang w:val="fr-BE"/>
        </w:rPr>
        <w:t>sur base de</w:t>
      </w:r>
      <w:r w:rsidR="00E74518">
        <w:rPr>
          <w:rFonts w:ascii="Times New Roman" w:hAnsi="Times New Roman"/>
          <w:sz w:val="22"/>
          <w:szCs w:val="22"/>
          <w:lang w:val="fr-BE"/>
        </w:rPr>
        <w:t xml:space="preserve"> nos</w:t>
      </w:r>
      <w:r>
        <w:rPr>
          <w:rFonts w:ascii="Times New Roman" w:hAnsi="Times New Roman"/>
          <w:sz w:val="22"/>
          <w:szCs w:val="22"/>
          <w:lang w:val="fr-BE"/>
        </w:rPr>
        <w:t xml:space="preserve"> procédures mises en œuvre.</w:t>
      </w: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</w:p>
    <w:p w:rsidR="00254DD3" w:rsidRPr="00CF7661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  <w:r>
        <w:rPr>
          <w:rFonts w:ascii="Times New Roman" w:hAnsi="Times New Roman"/>
          <w:sz w:val="22"/>
          <w:szCs w:val="22"/>
          <w:lang w:val="fr-BE"/>
        </w:rPr>
        <w:t xml:space="preserve">Une </w:t>
      </w:r>
      <w:r w:rsidRPr="00450262">
        <w:rPr>
          <w:rFonts w:ascii="Times New Roman" w:hAnsi="Times New Roman"/>
          <w:sz w:val="22"/>
          <w:szCs w:val="22"/>
          <w:lang w:val="fr-BE"/>
        </w:rPr>
        <w:t>copie</w:t>
      </w:r>
      <w:r>
        <w:rPr>
          <w:rFonts w:ascii="Times New Roman" w:hAnsi="Times New Roman"/>
          <w:sz w:val="22"/>
          <w:szCs w:val="22"/>
          <w:lang w:val="fr-BE"/>
        </w:rPr>
        <w:t xml:space="preserve"> des déclarations</w:t>
      </w:r>
      <w:r w:rsidR="0054471C">
        <w:rPr>
          <w:rFonts w:ascii="Times New Roman" w:hAnsi="Times New Roman"/>
          <w:sz w:val="22"/>
          <w:szCs w:val="22"/>
          <w:lang w:val="fr-BE"/>
        </w:rPr>
        <w:t xml:space="preserve"> annuelles</w:t>
      </w:r>
      <w:r>
        <w:rPr>
          <w:rFonts w:ascii="Times New Roman" w:hAnsi="Times New Roman"/>
          <w:sz w:val="22"/>
          <w:szCs w:val="22"/>
          <w:lang w:val="fr-BE"/>
        </w:rPr>
        <w:t xml:space="preserve"> préparées par l</w:t>
      </w:r>
      <w:r w:rsidR="0054471C">
        <w:rPr>
          <w:rFonts w:ascii="Times New Roman" w:hAnsi="Times New Roman"/>
          <w:sz w:val="22"/>
          <w:szCs w:val="22"/>
          <w:lang w:val="fr-BE"/>
        </w:rPr>
        <w:t>e comité de</w:t>
      </w:r>
      <w:r>
        <w:rPr>
          <w:rFonts w:ascii="Times New Roman" w:hAnsi="Times New Roman"/>
          <w:sz w:val="22"/>
          <w:szCs w:val="22"/>
          <w:lang w:val="fr-BE"/>
        </w:rPr>
        <w:t xml:space="preserve"> direction sont jointes en </w:t>
      </w:r>
      <w:proofErr w:type="gramStart"/>
      <w:r>
        <w:rPr>
          <w:rFonts w:ascii="Times New Roman" w:hAnsi="Times New Roman"/>
          <w:sz w:val="22"/>
          <w:szCs w:val="22"/>
          <w:lang w:val="fr-BE"/>
        </w:rPr>
        <w:t>annexe</w:t>
      </w:r>
      <w:proofErr w:type="gramEnd"/>
      <w:r>
        <w:rPr>
          <w:rFonts w:ascii="Times New Roman" w:hAnsi="Times New Roman"/>
          <w:sz w:val="22"/>
          <w:szCs w:val="22"/>
          <w:lang w:val="fr-BE"/>
        </w:rPr>
        <w:t>.</w:t>
      </w:r>
    </w:p>
    <w:p w:rsidR="00254DD3" w:rsidRPr="00CF7661" w:rsidRDefault="00254DD3" w:rsidP="0071667B">
      <w:pPr>
        <w:jc w:val="both"/>
        <w:rPr>
          <w:rFonts w:ascii="Times New Roman" w:hAnsi="Times New Roman"/>
          <w:sz w:val="22"/>
          <w:szCs w:val="22"/>
          <w:lang w:val="fr-BE"/>
        </w:rPr>
      </w:pPr>
    </w:p>
    <w:p w:rsidR="00254DD3" w:rsidRPr="00CF7661" w:rsidRDefault="00254DD3" w:rsidP="0071667B">
      <w:pPr>
        <w:jc w:val="both"/>
        <w:rPr>
          <w:rFonts w:ascii="Times New Roman" w:hAnsi="Times New Roman"/>
          <w:b/>
          <w:sz w:val="22"/>
          <w:szCs w:val="22"/>
          <w:lang w:val="fr-BE"/>
        </w:rPr>
      </w:pPr>
      <w:r>
        <w:rPr>
          <w:rFonts w:ascii="Times New Roman" w:hAnsi="Times New Roman"/>
          <w:b/>
          <w:sz w:val="22"/>
          <w:szCs w:val="22"/>
          <w:lang w:val="fr-BE"/>
        </w:rPr>
        <w:t>Procédures mises en œuvre</w:t>
      </w:r>
    </w:p>
    <w:p w:rsidR="00254DD3" w:rsidRPr="00CF7661" w:rsidRDefault="00254DD3" w:rsidP="0071667B">
      <w:pPr>
        <w:jc w:val="both"/>
        <w:rPr>
          <w:rFonts w:ascii="Times New Roman" w:hAnsi="Times New Roman"/>
          <w:b/>
          <w:sz w:val="22"/>
          <w:szCs w:val="22"/>
          <w:lang w:val="fr-BE"/>
        </w:rPr>
      </w:pPr>
    </w:p>
    <w:p w:rsidR="00254DD3" w:rsidRPr="00CF564F" w:rsidRDefault="00254DD3" w:rsidP="00FF785A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CF564F">
        <w:rPr>
          <w:rFonts w:ascii="Times New Roman" w:hAnsi="Times New Roman"/>
          <w:sz w:val="22"/>
          <w:szCs w:val="22"/>
          <w:lang w:val="fr-BE"/>
        </w:rPr>
        <w:t xml:space="preserve">Nous avons mis en œuvre nos procédures conformément à </w:t>
      </w:r>
      <w:r w:rsidR="00F321D3" w:rsidRPr="00CF564F">
        <w:rPr>
          <w:rFonts w:ascii="Times New Roman" w:hAnsi="Times New Roman"/>
          <w:sz w:val="22"/>
          <w:szCs w:val="22"/>
          <w:lang w:val="fr-BE"/>
        </w:rPr>
        <w:t>l’International</w:t>
      </w:r>
      <w:r w:rsidRPr="00CF564F">
        <w:rPr>
          <w:rFonts w:ascii="Times New Roman" w:hAnsi="Times New Roman"/>
          <w:sz w:val="22"/>
          <w:szCs w:val="22"/>
          <w:lang w:val="fr-BE"/>
        </w:rPr>
        <w:t xml:space="preserve"> Standard on Assurance Engagements 3000 “Assurance engagements </w:t>
      </w:r>
      <w:proofErr w:type="spellStart"/>
      <w:r w:rsidRPr="00CF564F">
        <w:rPr>
          <w:rFonts w:ascii="Times New Roman" w:hAnsi="Times New Roman"/>
          <w:sz w:val="22"/>
          <w:szCs w:val="22"/>
          <w:lang w:val="fr-BE"/>
        </w:rPr>
        <w:t>other</w:t>
      </w:r>
      <w:proofErr w:type="spellEnd"/>
      <w:r w:rsidRPr="00CF564F">
        <w:rPr>
          <w:rFonts w:ascii="Times New Roman" w:hAnsi="Times New Roman"/>
          <w:sz w:val="22"/>
          <w:szCs w:val="22"/>
          <w:lang w:val="fr-BE"/>
        </w:rPr>
        <w:t xml:space="preserve"> </w:t>
      </w:r>
      <w:proofErr w:type="spellStart"/>
      <w:r w:rsidRPr="00CF564F">
        <w:rPr>
          <w:rFonts w:ascii="Times New Roman" w:hAnsi="Times New Roman"/>
          <w:sz w:val="22"/>
          <w:szCs w:val="22"/>
          <w:lang w:val="fr-BE"/>
        </w:rPr>
        <w:t>than</w:t>
      </w:r>
      <w:proofErr w:type="spellEnd"/>
      <w:r w:rsidRPr="00CF564F">
        <w:rPr>
          <w:rFonts w:ascii="Times New Roman" w:hAnsi="Times New Roman"/>
          <w:sz w:val="22"/>
          <w:szCs w:val="22"/>
          <w:lang w:val="fr-BE"/>
        </w:rPr>
        <w:t xml:space="preserve"> audits or </w:t>
      </w:r>
      <w:proofErr w:type="spellStart"/>
      <w:r w:rsidRPr="00CF564F">
        <w:rPr>
          <w:rFonts w:ascii="Times New Roman" w:hAnsi="Times New Roman"/>
          <w:sz w:val="22"/>
          <w:szCs w:val="22"/>
          <w:lang w:val="fr-BE"/>
        </w:rPr>
        <w:t>reviews</w:t>
      </w:r>
      <w:proofErr w:type="spellEnd"/>
      <w:r w:rsidRPr="00CF564F">
        <w:rPr>
          <w:rFonts w:ascii="Times New Roman" w:hAnsi="Times New Roman"/>
          <w:sz w:val="22"/>
          <w:szCs w:val="22"/>
          <w:lang w:val="fr-BE"/>
        </w:rPr>
        <w:t xml:space="preserve"> of </w:t>
      </w:r>
      <w:proofErr w:type="spellStart"/>
      <w:r w:rsidRPr="00CF564F">
        <w:rPr>
          <w:rFonts w:ascii="Times New Roman" w:hAnsi="Times New Roman"/>
          <w:sz w:val="22"/>
          <w:szCs w:val="22"/>
          <w:lang w:val="fr-BE"/>
        </w:rPr>
        <w:t>historical</w:t>
      </w:r>
      <w:proofErr w:type="spellEnd"/>
      <w:r w:rsidRPr="00CF564F">
        <w:rPr>
          <w:rFonts w:ascii="Times New Roman" w:hAnsi="Times New Roman"/>
          <w:sz w:val="22"/>
          <w:szCs w:val="22"/>
          <w:lang w:val="fr-BE"/>
        </w:rPr>
        <w:t xml:space="preserve"> </w:t>
      </w:r>
      <w:proofErr w:type="spellStart"/>
      <w:r w:rsidRPr="00CF564F">
        <w:rPr>
          <w:rFonts w:ascii="Times New Roman" w:hAnsi="Times New Roman"/>
          <w:sz w:val="22"/>
          <w:szCs w:val="22"/>
          <w:lang w:val="fr-BE"/>
        </w:rPr>
        <w:t>financial</w:t>
      </w:r>
      <w:proofErr w:type="spellEnd"/>
      <w:r w:rsidRPr="00CF564F">
        <w:rPr>
          <w:rFonts w:ascii="Times New Roman" w:hAnsi="Times New Roman"/>
          <w:sz w:val="22"/>
          <w:szCs w:val="22"/>
          <w:lang w:val="fr-BE"/>
        </w:rPr>
        <w:t xml:space="preserve"> information”. En conséquence, nous avons planifié et exécuté nos procédures en vue d’</w:t>
      </w:r>
      <w:r w:rsidRPr="00CF564F">
        <w:rPr>
          <w:rFonts w:ascii="Times New Roman" w:hAnsi="Times New Roman"/>
          <w:sz w:val="22"/>
          <w:szCs w:val="22"/>
          <w:lang w:val="fr-FR"/>
        </w:rPr>
        <w:t>obtenir une assurance raisonnable que la déclaration</w:t>
      </w:r>
      <w:r w:rsidR="0054471C" w:rsidRPr="00CF564F">
        <w:rPr>
          <w:rFonts w:ascii="Times New Roman" w:hAnsi="Times New Roman"/>
          <w:sz w:val="22"/>
          <w:szCs w:val="22"/>
          <w:lang w:val="fr-FR"/>
        </w:rPr>
        <w:t xml:space="preserve"> annuelle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 de la charge brute des sinistres par type de </w:t>
      </w:r>
      <w:r w:rsidR="0054471C" w:rsidRPr="00CF564F">
        <w:rPr>
          <w:rFonts w:ascii="Times New Roman" w:hAnsi="Times New Roman"/>
          <w:sz w:val="22"/>
          <w:szCs w:val="22"/>
          <w:lang w:val="fr-FR"/>
        </w:rPr>
        <w:t xml:space="preserve">garantie 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et par </w:t>
      </w:r>
      <w:r w:rsidR="00E74518" w:rsidRPr="00CF564F">
        <w:rPr>
          <w:rFonts w:ascii="Times New Roman" w:hAnsi="Times New Roman"/>
          <w:sz w:val="22"/>
          <w:szCs w:val="22"/>
          <w:lang w:val="fr-FR"/>
        </w:rPr>
        <w:t xml:space="preserve">catégorie </w:t>
      </w:r>
      <w:r w:rsidRPr="00CF564F">
        <w:rPr>
          <w:rFonts w:ascii="Times New Roman" w:hAnsi="Times New Roman"/>
          <w:sz w:val="22"/>
          <w:szCs w:val="22"/>
          <w:lang w:val="fr-FR"/>
        </w:rPr>
        <w:t>d’âge pour les contrats d’assurance soins de santé autres que ceux liés à l’activité professionnelle</w:t>
      </w:r>
      <w:r w:rsidR="00700CF2" w:rsidRPr="00CF564F">
        <w:rPr>
          <w:rFonts w:ascii="Times New Roman" w:hAnsi="Times New Roman"/>
          <w:sz w:val="22"/>
          <w:szCs w:val="22"/>
          <w:lang w:val="fr-FR"/>
        </w:rPr>
        <w:t>,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 la déclaration </w:t>
      </w:r>
      <w:r w:rsidR="00F514A8" w:rsidRPr="00CF564F">
        <w:rPr>
          <w:rFonts w:ascii="Times New Roman" w:hAnsi="Times New Roman"/>
          <w:sz w:val="22"/>
          <w:szCs w:val="22"/>
          <w:lang w:val="fr-FR"/>
        </w:rPr>
        <w:t xml:space="preserve">annuelle 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du nombre d’assurés par type de garantie et par </w:t>
      </w:r>
      <w:r w:rsidR="00E74518" w:rsidRPr="00CF564F">
        <w:rPr>
          <w:rFonts w:ascii="Times New Roman" w:hAnsi="Times New Roman"/>
          <w:sz w:val="22"/>
          <w:szCs w:val="22"/>
          <w:lang w:val="fr-FR"/>
        </w:rPr>
        <w:t xml:space="preserve">catégorie </w:t>
      </w:r>
      <w:r w:rsidRPr="00CF564F">
        <w:rPr>
          <w:rFonts w:ascii="Times New Roman" w:hAnsi="Times New Roman"/>
          <w:sz w:val="22"/>
          <w:szCs w:val="22"/>
          <w:lang w:val="fr-FR"/>
        </w:rPr>
        <w:t>d’âge</w:t>
      </w:r>
      <w:r w:rsidR="00700CF2" w:rsidRPr="00CF564F">
        <w:rPr>
          <w:rFonts w:ascii="Times New Roman" w:hAnsi="Times New Roman"/>
          <w:sz w:val="22"/>
          <w:szCs w:val="22"/>
          <w:lang w:val="fr-FR"/>
        </w:rPr>
        <w:t xml:space="preserve"> ainsi que l</w:t>
      </w:r>
      <w:r w:rsidR="00E74518">
        <w:rPr>
          <w:rFonts w:ascii="Times New Roman" w:hAnsi="Times New Roman"/>
          <w:sz w:val="22"/>
          <w:szCs w:val="22"/>
          <w:lang w:val="fr-FR"/>
        </w:rPr>
        <w:t>’</w:t>
      </w:r>
      <w:r w:rsidR="00700CF2" w:rsidRPr="00CF564F">
        <w:rPr>
          <w:rFonts w:ascii="Times New Roman" w:hAnsi="Times New Roman"/>
          <w:sz w:val="22"/>
          <w:szCs w:val="22"/>
          <w:lang w:val="fr-FR"/>
        </w:rPr>
        <w:t xml:space="preserve"> encaissement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 ont  été établies, sous tous égards significativement importants, conformément aux dispositions définies par l’arrêté</w:t>
      </w:r>
      <w:r w:rsidR="00F514A8" w:rsidRPr="00CF564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E74518">
        <w:rPr>
          <w:rFonts w:ascii="Times New Roman" w:hAnsi="Times New Roman"/>
          <w:sz w:val="22"/>
          <w:szCs w:val="22"/>
          <w:lang w:val="fr-FR"/>
        </w:rPr>
        <w:t xml:space="preserve">royal </w:t>
      </w:r>
      <w:r w:rsidR="00F514A8" w:rsidRPr="00CF564F">
        <w:rPr>
          <w:rFonts w:ascii="Times New Roman" w:hAnsi="Times New Roman"/>
          <w:sz w:val="22"/>
          <w:szCs w:val="22"/>
          <w:lang w:val="fr-FR"/>
        </w:rPr>
        <w:t>indice médical</w:t>
      </w:r>
      <w:r w:rsidR="00700CF2" w:rsidRPr="00CF564F">
        <w:rPr>
          <w:rFonts w:ascii="Times New Roman" w:hAnsi="Times New Roman"/>
          <w:sz w:val="22"/>
          <w:szCs w:val="22"/>
          <w:lang w:val="fr-FR"/>
        </w:rPr>
        <w:t xml:space="preserve"> et les instructions complémentaires de la FSMA du 4 avril 2017</w:t>
      </w:r>
      <w:r w:rsidRPr="00CF564F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F514A8" w:rsidRPr="00CF564F">
        <w:rPr>
          <w:rFonts w:ascii="Times New Roman" w:hAnsi="Times New Roman"/>
          <w:sz w:val="22"/>
          <w:szCs w:val="22"/>
          <w:lang w:val="fr-FR"/>
        </w:rPr>
        <w:t xml:space="preserve"> en vigueur à la date du rapport</w:t>
      </w:r>
      <w:r w:rsidRPr="00CF564F">
        <w:rPr>
          <w:rFonts w:ascii="Times New Roman" w:hAnsi="Times New Roman"/>
          <w:sz w:val="22"/>
          <w:szCs w:val="22"/>
          <w:lang w:val="fr-FR"/>
        </w:rPr>
        <w:t>.</w:t>
      </w:r>
    </w:p>
    <w:p w:rsidR="00254DD3" w:rsidRPr="007D0B1B" w:rsidRDefault="00254DD3" w:rsidP="0071667B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</w:p>
    <w:p w:rsidR="00254DD3" w:rsidRDefault="00254DD3" w:rsidP="00B44C42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Sur cette base</w:t>
      </w:r>
      <w:r w:rsidRPr="00142369">
        <w:rPr>
          <w:rFonts w:ascii="Times New Roman" w:hAnsi="Times New Roman"/>
          <w:sz w:val="22"/>
          <w:szCs w:val="22"/>
          <w:lang w:val="fr-FR"/>
        </w:rPr>
        <w:t xml:space="preserve">, nous avons mis en œuvre </w:t>
      </w:r>
      <w:r>
        <w:rPr>
          <w:rFonts w:ascii="Times New Roman" w:hAnsi="Times New Roman"/>
          <w:sz w:val="22"/>
          <w:szCs w:val="22"/>
          <w:lang w:val="fr-FR"/>
        </w:rPr>
        <w:t>l</w:t>
      </w:r>
      <w:r w:rsidRPr="00142369">
        <w:rPr>
          <w:rFonts w:ascii="Times New Roman" w:hAnsi="Times New Roman"/>
          <w:sz w:val="22"/>
          <w:szCs w:val="22"/>
          <w:lang w:val="fr-FR"/>
        </w:rPr>
        <w:t xml:space="preserve">es procédures </w:t>
      </w:r>
      <w:r>
        <w:rPr>
          <w:rFonts w:ascii="Times New Roman" w:hAnsi="Times New Roman"/>
          <w:sz w:val="22"/>
          <w:szCs w:val="22"/>
          <w:lang w:val="fr-FR"/>
        </w:rPr>
        <w:t>que nous estimons nécessaires dans les circonstances données afin de pouvoir formuler une conclusion</w:t>
      </w:r>
      <w:r w:rsidRPr="00142369">
        <w:rPr>
          <w:rFonts w:ascii="Times New Roman" w:hAnsi="Times New Roman"/>
          <w:sz w:val="22"/>
          <w:szCs w:val="22"/>
          <w:lang w:val="fr-FR"/>
        </w:rPr>
        <w:t>.</w:t>
      </w:r>
      <w:r>
        <w:rPr>
          <w:rFonts w:ascii="Times New Roman" w:hAnsi="Times New Roman"/>
          <w:sz w:val="22"/>
          <w:szCs w:val="22"/>
          <w:lang w:val="fr-FR"/>
        </w:rPr>
        <w:t xml:space="preserve"> Nos procédures ont consisté en:</w:t>
      </w: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E74518" w:rsidRPr="00CF564F" w:rsidRDefault="00E74518" w:rsidP="0071667B">
      <w:pPr>
        <w:jc w:val="both"/>
        <w:rPr>
          <w:rFonts w:ascii="Times New Roman" w:hAnsi="Times New Roman"/>
          <w:sz w:val="22"/>
          <w:szCs w:val="22"/>
          <w:highlight w:val="lightGray"/>
          <w:lang w:val="fr-FR"/>
        </w:rPr>
      </w:pPr>
      <w:r w:rsidRPr="00CF564F">
        <w:rPr>
          <w:rFonts w:ascii="Times New Roman" w:hAnsi="Times New Roman"/>
          <w:sz w:val="22"/>
          <w:szCs w:val="22"/>
          <w:highlight w:val="lightGray"/>
          <w:lang w:val="fr-FR"/>
        </w:rPr>
        <w:t>Les travaux de révision peuvent, à titre d’exemple, contenir les étapes suivantes:</w:t>
      </w:r>
    </w:p>
    <w:p w:rsidR="00E74518" w:rsidRPr="00CF564F" w:rsidRDefault="00E74518" w:rsidP="0071667B">
      <w:pPr>
        <w:jc w:val="both"/>
        <w:rPr>
          <w:rFonts w:ascii="Times New Roman" w:hAnsi="Times New Roman"/>
          <w:sz w:val="22"/>
          <w:szCs w:val="22"/>
          <w:highlight w:val="lightGray"/>
          <w:lang w:val="fr-FR"/>
        </w:rPr>
      </w:pPr>
    </w:p>
    <w:p w:rsidR="00E74518" w:rsidRPr="00CF564F" w:rsidRDefault="005C28A5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>
        <w:rPr>
          <w:rFonts w:ascii="Times New Roman" w:hAnsi="Times New Roman"/>
          <w:color w:val="222222"/>
          <w:sz w:val="22"/>
          <w:highlight w:val="lightGray"/>
          <w:lang w:val="fr-FR"/>
        </w:rPr>
        <w:t>o</w:t>
      </w:r>
      <w:r w:rsidR="00E74518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btention d’une description des procédures mises en place par</w:t>
      </w:r>
      <w:r w:rsidR="00082D7F" w:rsidRPr="00730C8E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l’entité</w:t>
      </w:r>
      <w:r w:rsidR="00E74518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dans le cadre de la préparation des données </w:t>
      </w:r>
      <w:r w:rsidR="00082D7F">
        <w:rPr>
          <w:rFonts w:ascii="Times New Roman" w:hAnsi="Times New Roman"/>
          <w:color w:val="222222"/>
          <w:sz w:val="22"/>
          <w:highlight w:val="lightGray"/>
          <w:lang w:val="fr-FR"/>
        </w:rPr>
        <w:t>annuels</w:t>
      </w:r>
      <w:r w:rsidR="00E74518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, y compris les mesures de contrôle interne mises en </w:t>
      </w:r>
      <w:r w:rsidR="00E74518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lastRenderedPageBreak/>
        <w:t>place fournissant une assurance raisonnable de la fiabilité des données déclarées, ainsi que de la documentation sur laquelle s’appuie le descriptif;</w:t>
      </w:r>
    </w:p>
    <w:p w:rsidR="00E74518" w:rsidRPr="00CF564F" w:rsidRDefault="00E74518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discussions menées en vue d’obtenir une bonne compréhension des procédures relatives à la collecte des données requises et des mesures de contrôle interne mises en place dans le cadre de  la préparation des déclarations </w:t>
      </w:r>
      <w:r w:rsidR="00082D7F">
        <w:rPr>
          <w:rFonts w:ascii="Times New Roman" w:hAnsi="Times New Roman"/>
          <w:color w:val="222222"/>
          <w:sz w:val="22"/>
          <w:highlight w:val="lightGray"/>
          <w:lang w:val="fr-FR"/>
        </w:rPr>
        <w:t>annuels</w:t>
      </w: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;</w:t>
      </w:r>
    </w:p>
    <w:p w:rsidR="00E74518" w:rsidRPr="00CF564F" w:rsidRDefault="00E74518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validation des programmes et des requêtes utilisées pour l’établissement des inventaires servant de base à la préparation des déclarations </w:t>
      </w:r>
      <w:r w:rsidR="00082D7F">
        <w:rPr>
          <w:rFonts w:ascii="Times New Roman" w:hAnsi="Times New Roman"/>
          <w:color w:val="222222"/>
          <w:sz w:val="22"/>
          <w:highlight w:val="lightGray"/>
          <w:lang w:val="fr-FR"/>
        </w:rPr>
        <w:t>annuels</w:t>
      </w: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;</w:t>
      </w:r>
    </w:p>
    <w:p w:rsidR="00E74518" w:rsidRPr="00CF564F" w:rsidRDefault="00E74518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validation de la concordance des données communiquées avec les inventaires sous-jacents;</w:t>
      </w:r>
    </w:p>
    <w:p w:rsidR="00E74518" w:rsidRPr="00CF564F" w:rsidRDefault="00E74518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mise en place  de tests de vraisemblance sur l’information reprise dans les inventaires et les montants repris dans la déclaration ;</w:t>
      </w:r>
    </w:p>
    <w:p w:rsidR="00E74518" w:rsidRPr="00CF564F" w:rsidRDefault="00E74518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contrôle par échantillonnage des données de base reprises dans les inventaires avec une attention particulière à: la date de la prestation ou la date d’hospitalisation, le montant de la facture, le montant de l’intervention de l’INAMI, le type de  garantie et la </w:t>
      </w:r>
      <w:r w:rsidR="005C28A5" w:rsidRPr="00730C8E">
        <w:rPr>
          <w:rFonts w:ascii="Times New Roman" w:hAnsi="Times New Roman"/>
          <w:color w:val="222222"/>
          <w:sz w:val="22"/>
          <w:highlight w:val="lightGray"/>
          <w:lang w:val="fr-FR"/>
        </w:rPr>
        <w:t>catégorie</w:t>
      </w: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d’âge;</w:t>
      </w:r>
    </w:p>
    <w:p w:rsidR="0037773B" w:rsidRPr="00CF564F" w:rsidRDefault="00E07595" w:rsidP="00CF564F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la vérification de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la conformité </w:t>
      </w:r>
      <w:r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de l’encaissement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rapporté par le montant des « statistiques des opérations d'assurance directe non-vie en Belgique » des rapports annuels </w:t>
      </w:r>
      <w:r w:rsidR="00093624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BNB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énumérés sous la rubrique « 1.1. primes </w:t>
      </w:r>
      <w:r w:rsidR="00093624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et variation des primes restant à émettre de la branche/groupe de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produit</w:t>
      </w:r>
      <w:r w:rsidR="00093624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s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.IV '02. Autres contrats individuels</w:t>
      </w:r>
      <w:r w:rsidR="00093624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de la branche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 xml:space="preserve"> 02 </w:t>
      </w:r>
      <w:r w:rsidR="00093624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M</w:t>
      </w:r>
      <w:r w:rsidR="0037773B" w:rsidRPr="00CF564F">
        <w:rPr>
          <w:rFonts w:ascii="Times New Roman" w:hAnsi="Times New Roman"/>
          <w:color w:val="222222"/>
          <w:sz w:val="22"/>
          <w:highlight w:val="lightGray"/>
          <w:lang w:val="fr-FR"/>
        </w:rPr>
        <w:t>aladie</w:t>
      </w:r>
      <w:r w:rsidR="005C28A5">
        <w:rPr>
          <w:rFonts w:ascii="Times New Roman" w:hAnsi="Times New Roman"/>
          <w:color w:val="222222"/>
          <w:sz w:val="22"/>
          <w:highlight w:val="lightGray"/>
          <w:lang w:val="fr-FR"/>
        </w:rPr>
        <w:t>;</w:t>
      </w:r>
    </w:p>
    <w:p w:rsidR="005C28A5" w:rsidRPr="003E678D" w:rsidRDefault="005C28A5" w:rsidP="005C28A5">
      <w:pPr>
        <w:numPr>
          <w:ilvl w:val="0"/>
          <w:numId w:val="8"/>
        </w:numPr>
        <w:jc w:val="both"/>
        <w:rPr>
          <w:rFonts w:ascii="Times New Roman" w:hAnsi="Times New Roman"/>
          <w:color w:val="222222"/>
          <w:sz w:val="22"/>
          <w:highlight w:val="lightGray"/>
          <w:lang w:val="fr-FR"/>
        </w:rPr>
      </w:pPr>
      <w:r w:rsidRPr="003E678D">
        <w:rPr>
          <w:rFonts w:ascii="Times New Roman" w:hAnsi="Times New Roman"/>
          <w:color w:val="222222"/>
          <w:sz w:val="22"/>
          <w:highlight w:val="lightGray"/>
          <w:lang w:val="fr-FR"/>
        </w:rPr>
        <w:t>[à compléter sur base du jugement professionnel du réviseur d’entreprises].</w:t>
      </w:r>
    </w:p>
    <w:p w:rsidR="00254DD3" w:rsidRDefault="00254DD3" w:rsidP="0071667B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254DD3" w:rsidRPr="00142369" w:rsidRDefault="00254DD3" w:rsidP="00142369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Nous estimons que ces </w:t>
      </w:r>
      <w:r w:rsidRPr="00142369">
        <w:rPr>
          <w:rFonts w:ascii="Times New Roman" w:hAnsi="Times New Roman"/>
          <w:sz w:val="22"/>
          <w:szCs w:val="22"/>
          <w:lang w:val="fr-FR"/>
        </w:rPr>
        <w:t xml:space="preserve">procédures </w:t>
      </w:r>
      <w:r>
        <w:rPr>
          <w:rFonts w:ascii="Times New Roman" w:hAnsi="Times New Roman"/>
          <w:sz w:val="22"/>
          <w:szCs w:val="22"/>
          <w:lang w:val="fr-FR"/>
        </w:rPr>
        <w:t>fournissent</w:t>
      </w:r>
      <w:r w:rsidRPr="00142369">
        <w:rPr>
          <w:rFonts w:ascii="Times New Roman" w:hAnsi="Times New Roman"/>
          <w:sz w:val="22"/>
          <w:szCs w:val="22"/>
          <w:lang w:val="fr-FR"/>
        </w:rPr>
        <w:t xml:space="preserve"> une base raisonnable </w:t>
      </w:r>
      <w:r>
        <w:rPr>
          <w:rFonts w:ascii="Times New Roman" w:hAnsi="Times New Roman"/>
          <w:sz w:val="22"/>
          <w:szCs w:val="22"/>
          <w:lang w:val="fr-FR"/>
        </w:rPr>
        <w:t xml:space="preserve">pour </w:t>
      </w:r>
      <w:r w:rsidRPr="00142369">
        <w:rPr>
          <w:rFonts w:ascii="Times New Roman" w:hAnsi="Times New Roman"/>
          <w:sz w:val="22"/>
          <w:szCs w:val="22"/>
          <w:lang w:val="fr-FR"/>
        </w:rPr>
        <w:t>notre conclusion.</w:t>
      </w:r>
    </w:p>
    <w:p w:rsidR="00254DD3" w:rsidRPr="00142369" w:rsidRDefault="00254DD3" w:rsidP="00142369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254DD3" w:rsidRPr="00142369" w:rsidRDefault="00254DD3" w:rsidP="00142369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  <w:r w:rsidRPr="00142369">
        <w:rPr>
          <w:rFonts w:ascii="Times New Roman" w:hAnsi="Times New Roman"/>
          <w:b/>
          <w:sz w:val="22"/>
          <w:szCs w:val="22"/>
          <w:lang w:val="fr-FR"/>
        </w:rPr>
        <w:t>Conclusion</w:t>
      </w:r>
      <w:r w:rsidR="005C28A5">
        <w:rPr>
          <w:rStyle w:val="FootnoteReference"/>
          <w:rFonts w:ascii="Times New Roman" w:hAnsi="Times New Roman"/>
          <w:b/>
          <w:sz w:val="22"/>
          <w:szCs w:val="22"/>
          <w:lang w:val="fr-FR"/>
        </w:rPr>
        <w:footnoteReference w:id="1"/>
      </w:r>
    </w:p>
    <w:p w:rsidR="00254DD3" w:rsidRDefault="00254DD3" w:rsidP="00142369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254DD3" w:rsidRPr="002D6C1E" w:rsidRDefault="00254DD3" w:rsidP="002D6C1E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>Sur base des procédures mises en œuvre, nous sommes d’avis que la déclaration</w:t>
      </w:r>
      <w:r w:rsidR="008B2A2B">
        <w:rPr>
          <w:rFonts w:ascii="Times New Roman" w:hAnsi="Times New Roman"/>
          <w:sz w:val="22"/>
          <w:szCs w:val="22"/>
          <w:lang w:val="fr-FR"/>
        </w:rPr>
        <w:t xml:space="preserve"> annuelle</w:t>
      </w:r>
      <w:r>
        <w:rPr>
          <w:rFonts w:ascii="Times New Roman" w:hAnsi="Times New Roman"/>
          <w:sz w:val="22"/>
          <w:szCs w:val="22"/>
          <w:lang w:val="fr-FR"/>
        </w:rPr>
        <w:t xml:space="preserve"> de la charge brute des sinistres 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par type de </w:t>
      </w:r>
      <w:r w:rsidR="008B2A2B">
        <w:rPr>
          <w:rFonts w:ascii="Times New Roman" w:hAnsi="Times New Roman"/>
          <w:sz w:val="22"/>
          <w:szCs w:val="22"/>
          <w:lang w:val="fr-FR"/>
        </w:rPr>
        <w:t>garantie</w:t>
      </w:r>
      <w:r w:rsidR="008B2A2B" w:rsidRPr="002D6C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et par </w:t>
      </w:r>
      <w:r w:rsidR="00E74518">
        <w:rPr>
          <w:rFonts w:ascii="Times New Roman" w:hAnsi="Times New Roman"/>
          <w:sz w:val="22"/>
          <w:szCs w:val="22"/>
          <w:lang w:val="fr-FR"/>
        </w:rPr>
        <w:t>catégorie</w:t>
      </w:r>
      <w:r w:rsidR="00E74518" w:rsidRPr="002D6C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2D6C1E">
        <w:rPr>
          <w:rFonts w:ascii="Times New Roman" w:hAnsi="Times New Roman"/>
          <w:sz w:val="22"/>
          <w:szCs w:val="22"/>
          <w:lang w:val="fr-FR"/>
        </w:rPr>
        <w:t>d’âge pour les contrats d’assurance soins de santé autres que liés à l’activité professionnelle</w:t>
      </w:r>
      <w:r w:rsidR="00700CF2">
        <w:rPr>
          <w:rFonts w:ascii="Times New Roman" w:hAnsi="Times New Roman"/>
          <w:sz w:val="22"/>
          <w:szCs w:val="22"/>
          <w:lang w:val="fr-FR"/>
        </w:rPr>
        <w:t>,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 xml:space="preserve">la déclaration </w:t>
      </w:r>
      <w:r w:rsidR="008B2A2B">
        <w:rPr>
          <w:rFonts w:ascii="Times New Roman" w:hAnsi="Times New Roman"/>
          <w:sz w:val="22"/>
          <w:szCs w:val="22"/>
          <w:lang w:val="fr-FR"/>
        </w:rPr>
        <w:t xml:space="preserve">annuelle </w:t>
      </w:r>
      <w:r>
        <w:rPr>
          <w:rFonts w:ascii="Times New Roman" w:hAnsi="Times New Roman"/>
          <w:sz w:val="22"/>
          <w:szCs w:val="22"/>
          <w:lang w:val="fr-FR"/>
        </w:rPr>
        <w:t>du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 nombre d’assurés par</w:t>
      </w:r>
      <w:r>
        <w:rPr>
          <w:rFonts w:ascii="Times New Roman" w:hAnsi="Times New Roman"/>
          <w:sz w:val="22"/>
          <w:szCs w:val="22"/>
          <w:lang w:val="fr-FR"/>
        </w:rPr>
        <w:t xml:space="preserve"> type de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 garantie et par </w:t>
      </w:r>
      <w:r w:rsidR="00E74518">
        <w:rPr>
          <w:rFonts w:ascii="Times New Roman" w:hAnsi="Times New Roman"/>
          <w:sz w:val="22"/>
          <w:szCs w:val="22"/>
          <w:lang w:val="fr-FR"/>
        </w:rPr>
        <w:t>catégorie</w:t>
      </w:r>
      <w:r w:rsidR="00E74518" w:rsidRPr="002D6C1E"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2D6C1E">
        <w:rPr>
          <w:rFonts w:ascii="Times New Roman" w:hAnsi="Times New Roman"/>
          <w:sz w:val="22"/>
          <w:szCs w:val="22"/>
          <w:lang w:val="fr-FR"/>
        </w:rPr>
        <w:t>d’âge</w:t>
      </w:r>
      <w:r w:rsidR="00700CF2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5C28A5">
        <w:rPr>
          <w:rFonts w:ascii="Times New Roman" w:hAnsi="Times New Roman"/>
          <w:sz w:val="22"/>
          <w:szCs w:val="22"/>
          <w:lang w:val="fr-FR"/>
        </w:rPr>
        <w:t>de la période du 1</w:t>
      </w:r>
      <w:r w:rsidR="005C28A5" w:rsidRPr="00CF564F">
        <w:rPr>
          <w:rFonts w:ascii="Times New Roman" w:hAnsi="Times New Roman"/>
          <w:sz w:val="22"/>
          <w:szCs w:val="22"/>
          <w:vertAlign w:val="superscript"/>
          <w:lang w:val="fr-FR"/>
        </w:rPr>
        <w:t>er</w:t>
      </w:r>
      <w:r w:rsidR="005C28A5">
        <w:rPr>
          <w:rFonts w:ascii="Times New Roman" w:hAnsi="Times New Roman"/>
          <w:sz w:val="22"/>
          <w:szCs w:val="22"/>
          <w:lang w:val="fr-FR"/>
        </w:rPr>
        <w:t xml:space="preserve"> octobre 201X à 30 septembre 201X</w:t>
      </w:r>
      <w:r w:rsidR="00207ECD">
        <w:rPr>
          <w:rFonts w:ascii="Times New Roman" w:hAnsi="Times New Roman"/>
          <w:sz w:val="22"/>
          <w:szCs w:val="22"/>
          <w:lang w:val="fr-FR"/>
        </w:rPr>
        <w:t>+1</w:t>
      </w:r>
      <w:r w:rsidR="005C28A5">
        <w:rPr>
          <w:rFonts w:ascii="Times New Roman" w:hAnsi="Times New Roman"/>
          <w:sz w:val="22"/>
          <w:szCs w:val="22"/>
          <w:lang w:val="fr-FR"/>
        </w:rPr>
        <w:t xml:space="preserve"> </w:t>
      </w:r>
      <w:r w:rsidR="00700CF2">
        <w:rPr>
          <w:rFonts w:ascii="Times New Roman" w:hAnsi="Times New Roman"/>
          <w:sz w:val="22"/>
          <w:szCs w:val="22"/>
          <w:lang w:val="fr-FR"/>
        </w:rPr>
        <w:t>ainsi que l</w:t>
      </w:r>
      <w:r w:rsidR="005C28A5">
        <w:rPr>
          <w:rFonts w:ascii="Times New Roman" w:hAnsi="Times New Roman"/>
          <w:sz w:val="22"/>
          <w:szCs w:val="22"/>
          <w:lang w:val="fr-FR"/>
        </w:rPr>
        <w:t>’</w:t>
      </w:r>
      <w:r w:rsidR="00700CF2">
        <w:rPr>
          <w:rFonts w:ascii="Times New Roman" w:hAnsi="Times New Roman"/>
          <w:sz w:val="22"/>
          <w:szCs w:val="22"/>
          <w:lang w:val="fr-FR"/>
        </w:rPr>
        <w:t xml:space="preserve"> encaissement pour l’année calendrier 201</w:t>
      </w:r>
      <w:r w:rsidR="005C28A5">
        <w:rPr>
          <w:rFonts w:ascii="Times New Roman" w:hAnsi="Times New Roman"/>
          <w:sz w:val="22"/>
          <w:szCs w:val="22"/>
          <w:lang w:val="fr-FR"/>
        </w:rPr>
        <w:t>X</w:t>
      </w:r>
      <w:r w:rsidR="00A33C29">
        <w:rPr>
          <w:rFonts w:ascii="Times New Roman" w:hAnsi="Times New Roman"/>
          <w:sz w:val="22"/>
          <w:szCs w:val="22"/>
          <w:lang w:val="fr-FR"/>
        </w:rPr>
        <w:t>+1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rFonts w:ascii="Times New Roman" w:hAnsi="Times New Roman"/>
          <w:sz w:val="22"/>
          <w:szCs w:val="22"/>
          <w:lang w:val="fr-FR"/>
        </w:rPr>
        <w:t xml:space="preserve">ont été établies, sous tous égards significativement importants, </w:t>
      </w:r>
      <w:r w:rsidRPr="002D6C1E">
        <w:rPr>
          <w:rFonts w:ascii="Times New Roman" w:hAnsi="Times New Roman"/>
          <w:sz w:val="22"/>
          <w:szCs w:val="22"/>
          <w:lang w:val="fr-FR"/>
        </w:rPr>
        <w:t xml:space="preserve">conformément aux dispositions définies par l’arrêté </w:t>
      </w:r>
      <w:r w:rsidR="008B2A2B">
        <w:rPr>
          <w:rFonts w:ascii="Times New Roman" w:hAnsi="Times New Roman"/>
          <w:sz w:val="22"/>
          <w:szCs w:val="22"/>
          <w:lang w:val="fr-FR"/>
        </w:rPr>
        <w:t>indice médical et les instructions additionnelles de la FSMA du 4 avril 2017</w:t>
      </w:r>
      <w:r w:rsidRPr="002D6C1E">
        <w:rPr>
          <w:rFonts w:ascii="Times New Roman" w:hAnsi="Times New Roman"/>
          <w:sz w:val="22"/>
          <w:szCs w:val="22"/>
          <w:lang w:val="fr-FR"/>
        </w:rPr>
        <w:t>.</w:t>
      </w:r>
    </w:p>
    <w:p w:rsidR="00254DD3" w:rsidRPr="002D6C1E" w:rsidRDefault="00254DD3" w:rsidP="00142369">
      <w:pPr>
        <w:jc w:val="both"/>
        <w:rPr>
          <w:rFonts w:ascii="Times New Roman" w:hAnsi="Times New Roman"/>
          <w:sz w:val="22"/>
          <w:szCs w:val="22"/>
          <w:lang w:val="fr-FR"/>
        </w:rPr>
      </w:pPr>
    </w:p>
    <w:p w:rsidR="00700CF2" w:rsidRDefault="00700CF2" w:rsidP="002D6C1E">
      <w:pPr>
        <w:pStyle w:val="DefaultText"/>
        <w:widowControl/>
        <w:jc w:val="both"/>
        <w:rPr>
          <w:rStyle w:val="InitialStyle"/>
          <w:rFonts w:cs="Arial"/>
          <w:b/>
          <w:sz w:val="22"/>
          <w:szCs w:val="22"/>
          <w:lang w:val="fr-BE"/>
        </w:rPr>
      </w:pPr>
      <w:r>
        <w:rPr>
          <w:rStyle w:val="InitialStyle"/>
          <w:rFonts w:cs="Arial"/>
          <w:b/>
          <w:sz w:val="22"/>
          <w:szCs w:val="22"/>
          <w:lang w:val="fr-BE"/>
        </w:rPr>
        <w:t>Autres points</w:t>
      </w:r>
    </w:p>
    <w:p w:rsidR="00700CF2" w:rsidRDefault="00700CF2" w:rsidP="002D6C1E">
      <w:pPr>
        <w:pStyle w:val="DefaultText"/>
        <w:widowControl/>
        <w:jc w:val="both"/>
        <w:rPr>
          <w:rStyle w:val="InitialStyle"/>
          <w:rFonts w:cs="Arial"/>
          <w:b/>
          <w:sz w:val="22"/>
          <w:szCs w:val="22"/>
          <w:lang w:val="fr-BE"/>
        </w:rPr>
      </w:pPr>
    </w:p>
    <w:p w:rsidR="00700CF2" w:rsidRPr="00CF564F" w:rsidRDefault="00700CF2" w:rsidP="002D6C1E">
      <w:pPr>
        <w:pStyle w:val="DefaultText"/>
        <w:widowControl/>
        <w:jc w:val="both"/>
        <w:rPr>
          <w:rStyle w:val="InitialStyle"/>
          <w:rFonts w:cs="Arial"/>
          <w:sz w:val="22"/>
          <w:szCs w:val="22"/>
          <w:lang w:val="fr-BE"/>
        </w:rPr>
      </w:pPr>
      <w:r>
        <w:rPr>
          <w:rStyle w:val="InitialStyle"/>
          <w:rFonts w:cs="Arial"/>
          <w:sz w:val="22"/>
          <w:szCs w:val="22"/>
          <w:lang w:val="fr-BE"/>
        </w:rPr>
        <w:t>Conformément aux instructions complémentaires de la FSMA du 4 avril 2017 et l’exposé des motifs lors du projet de modification de la loi qui a été approuvée par la Chambre le 23 mars 2017, la société a profité de ce choix pour communiquer les données sur base des factures payées.</w:t>
      </w:r>
    </w:p>
    <w:p w:rsidR="00700CF2" w:rsidRDefault="00700CF2" w:rsidP="002D6C1E">
      <w:pPr>
        <w:pStyle w:val="DefaultText"/>
        <w:widowControl/>
        <w:jc w:val="both"/>
        <w:rPr>
          <w:rStyle w:val="InitialStyle"/>
          <w:rFonts w:cs="Arial"/>
          <w:b/>
          <w:sz w:val="22"/>
          <w:szCs w:val="22"/>
          <w:lang w:val="fr-BE"/>
        </w:rPr>
      </w:pPr>
    </w:p>
    <w:p w:rsidR="00254DD3" w:rsidRPr="00CF7661" w:rsidRDefault="008B2A2B" w:rsidP="002D6C1E">
      <w:pPr>
        <w:pStyle w:val="DefaultText"/>
        <w:widowControl/>
        <w:jc w:val="both"/>
        <w:rPr>
          <w:rStyle w:val="InitialStyle"/>
          <w:rFonts w:cs="Arial"/>
          <w:b/>
          <w:sz w:val="22"/>
          <w:szCs w:val="22"/>
          <w:lang w:val="fr-BE"/>
        </w:rPr>
      </w:pPr>
      <w:r>
        <w:rPr>
          <w:rStyle w:val="InitialStyle"/>
          <w:rFonts w:cs="Arial"/>
          <w:b/>
          <w:sz w:val="22"/>
          <w:szCs w:val="22"/>
          <w:lang w:val="fr-BE"/>
        </w:rPr>
        <w:t>Restrictions relatives à l’usage et à la d</w:t>
      </w:r>
      <w:r w:rsidR="00254DD3">
        <w:rPr>
          <w:rStyle w:val="InitialStyle"/>
          <w:rFonts w:cs="Arial"/>
          <w:b/>
          <w:sz w:val="22"/>
          <w:szCs w:val="22"/>
          <w:lang w:val="fr-BE"/>
        </w:rPr>
        <w:t>istribution</w:t>
      </w:r>
      <w:r w:rsidR="00254DD3" w:rsidRPr="00CF7661">
        <w:rPr>
          <w:rStyle w:val="InitialStyle"/>
          <w:rFonts w:cs="Arial"/>
          <w:b/>
          <w:sz w:val="22"/>
          <w:szCs w:val="22"/>
          <w:lang w:val="fr-BE"/>
        </w:rPr>
        <w:t xml:space="preserve"> du rapport</w:t>
      </w:r>
    </w:p>
    <w:p w:rsidR="00254DD3" w:rsidRPr="00CF7661" w:rsidRDefault="00254DD3" w:rsidP="002D6C1E">
      <w:pPr>
        <w:pStyle w:val="DefaultText"/>
        <w:widowControl/>
        <w:jc w:val="both"/>
        <w:rPr>
          <w:rStyle w:val="InitialStyle"/>
          <w:rFonts w:cs="Arial"/>
          <w:b/>
          <w:sz w:val="22"/>
          <w:szCs w:val="22"/>
          <w:lang w:val="fr-BE"/>
        </w:rPr>
      </w:pPr>
    </w:p>
    <w:p w:rsidR="00254DD3" w:rsidRPr="000171AB" w:rsidRDefault="00254DD3" w:rsidP="002D6C1E">
      <w:pPr>
        <w:pStyle w:val="DefaultText"/>
        <w:widowControl/>
        <w:jc w:val="both"/>
        <w:rPr>
          <w:rStyle w:val="InitialStyle"/>
          <w:rFonts w:cs="Arial"/>
          <w:sz w:val="22"/>
          <w:szCs w:val="22"/>
          <w:lang w:val="fr-BE"/>
        </w:rPr>
      </w:pPr>
      <w:r w:rsidRPr="002C050A">
        <w:rPr>
          <w:sz w:val="22"/>
          <w:szCs w:val="22"/>
          <w:lang w:val="fr-BE"/>
        </w:rPr>
        <w:t xml:space="preserve">Le présent rapport est destiné à l'usage exclusif de la </w:t>
      </w:r>
      <w:r w:rsidR="009A6394">
        <w:rPr>
          <w:sz w:val="22"/>
          <w:szCs w:val="22"/>
          <w:lang w:val="fr-BE"/>
        </w:rPr>
        <w:t xml:space="preserve">FSMA </w:t>
      </w:r>
      <w:r>
        <w:rPr>
          <w:sz w:val="22"/>
          <w:szCs w:val="22"/>
          <w:lang w:val="fr-BE"/>
        </w:rPr>
        <w:t>et ne peut pas être utilisé pour d’autres fins</w:t>
      </w:r>
      <w:r w:rsidRPr="002C050A">
        <w:rPr>
          <w:sz w:val="22"/>
          <w:szCs w:val="22"/>
          <w:lang w:val="fr-BE"/>
        </w:rPr>
        <w:t xml:space="preserve">. Une copie du présent rapport est adressée à l’attention </w:t>
      </w:r>
      <w:r w:rsidRPr="000171AB">
        <w:rPr>
          <w:i/>
          <w:kern w:val="20"/>
          <w:sz w:val="22"/>
          <w:szCs w:val="22"/>
          <w:lang w:val="fr-BE"/>
        </w:rPr>
        <w:t xml:space="preserve">(« de la direction effective » et/ou « du Conseil d’administration », selon le cas). </w:t>
      </w:r>
      <w:r w:rsidRPr="002C050A">
        <w:rPr>
          <w:rStyle w:val="InitialStyle"/>
          <w:rFonts w:cs="Arial"/>
          <w:sz w:val="22"/>
          <w:szCs w:val="22"/>
          <w:lang w:val="fr-BE"/>
        </w:rPr>
        <w:t xml:space="preserve">Nous attirons </w:t>
      </w:r>
      <w:r>
        <w:rPr>
          <w:rStyle w:val="InitialStyle"/>
          <w:rFonts w:cs="Arial"/>
          <w:sz w:val="22"/>
          <w:szCs w:val="22"/>
          <w:lang w:val="fr-BE"/>
        </w:rPr>
        <w:t>l’</w:t>
      </w:r>
      <w:r w:rsidRPr="002C050A">
        <w:rPr>
          <w:rStyle w:val="InitialStyle"/>
          <w:rFonts w:cs="Arial"/>
          <w:sz w:val="22"/>
          <w:szCs w:val="22"/>
          <w:lang w:val="fr-BE"/>
        </w:rPr>
        <w:t xml:space="preserve">attention sur le fait que ce </w:t>
      </w:r>
      <w:r w:rsidRPr="002C050A">
        <w:rPr>
          <w:rStyle w:val="InitialStyle"/>
          <w:rFonts w:cs="Arial"/>
          <w:sz w:val="22"/>
          <w:szCs w:val="22"/>
          <w:lang w:val="fr-BE"/>
        </w:rPr>
        <w:lastRenderedPageBreak/>
        <w:t xml:space="preserve">rapport ne peut  être </w:t>
      </w:r>
      <w:r>
        <w:rPr>
          <w:rStyle w:val="InitialStyle"/>
          <w:rFonts w:cs="Arial"/>
          <w:sz w:val="22"/>
          <w:szCs w:val="22"/>
          <w:lang w:val="fr-BE"/>
        </w:rPr>
        <w:t xml:space="preserve">communiqué </w:t>
      </w:r>
      <w:r w:rsidRPr="002C050A">
        <w:rPr>
          <w:rStyle w:val="InitialStyle"/>
          <w:rFonts w:cs="Arial"/>
          <w:sz w:val="22"/>
          <w:szCs w:val="22"/>
          <w:lang w:val="fr-BE"/>
        </w:rPr>
        <w:t>(en tout ou en partie)</w:t>
      </w:r>
      <w:r>
        <w:rPr>
          <w:rStyle w:val="InitialStyle"/>
          <w:rFonts w:cs="Arial"/>
          <w:sz w:val="22"/>
          <w:szCs w:val="22"/>
          <w:lang w:val="fr-BE"/>
        </w:rPr>
        <w:t xml:space="preserve"> </w:t>
      </w:r>
      <w:r w:rsidRPr="002C050A">
        <w:rPr>
          <w:rStyle w:val="InitialStyle"/>
          <w:rFonts w:cs="Arial"/>
          <w:sz w:val="22"/>
          <w:szCs w:val="22"/>
          <w:lang w:val="fr-BE"/>
        </w:rPr>
        <w:t>à</w:t>
      </w:r>
      <w:r>
        <w:rPr>
          <w:rStyle w:val="InitialStyle"/>
          <w:rFonts w:cs="Arial"/>
          <w:sz w:val="22"/>
          <w:szCs w:val="22"/>
          <w:lang w:val="fr-BE"/>
        </w:rPr>
        <w:t xml:space="preserve"> </w:t>
      </w:r>
      <w:r w:rsidRPr="002C050A">
        <w:rPr>
          <w:rStyle w:val="InitialStyle"/>
          <w:rFonts w:cs="Arial"/>
          <w:sz w:val="22"/>
          <w:szCs w:val="22"/>
          <w:lang w:val="fr-BE"/>
        </w:rPr>
        <w:t xml:space="preserve">des tiers sans notre </w:t>
      </w:r>
      <w:r>
        <w:rPr>
          <w:rStyle w:val="InitialStyle"/>
          <w:rFonts w:cs="Arial"/>
          <w:sz w:val="22"/>
          <w:szCs w:val="22"/>
          <w:lang w:val="fr-BE"/>
        </w:rPr>
        <w:t xml:space="preserve">autorisation préalable </w:t>
      </w:r>
      <w:r w:rsidRPr="002C050A">
        <w:rPr>
          <w:rStyle w:val="InitialStyle"/>
          <w:rFonts w:cs="Arial"/>
          <w:sz w:val="22"/>
          <w:szCs w:val="22"/>
          <w:lang w:val="fr-BE"/>
        </w:rPr>
        <w:t>formel</w:t>
      </w:r>
      <w:r>
        <w:rPr>
          <w:rStyle w:val="InitialStyle"/>
          <w:rFonts w:cs="Arial"/>
          <w:sz w:val="22"/>
          <w:szCs w:val="22"/>
          <w:lang w:val="fr-BE"/>
        </w:rPr>
        <w:t>le</w:t>
      </w:r>
      <w:r w:rsidRPr="002C050A">
        <w:rPr>
          <w:rStyle w:val="InitialStyle"/>
          <w:rFonts w:cs="Arial"/>
          <w:sz w:val="22"/>
          <w:szCs w:val="22"/>
          <w:lang w:val="fr-BE"/>
        </w:rPr>
        <w:t>.</w:t>
      </w:r>
    </w:p>
    <w:p w:rsidR="00254DD3" w:rsidRPr="00CF7661" w:rsidRDefault="00254DD3" w:rsidP="002D6C1E">
      <w:pPr>
        <w:pStyle w:val="DefaultText"/>
        <w:widowControl/>
        <w:jc w:val="both"/>
        <w:rPr>
          <w:rStyle w:val="InitialStyle"/>
          <w:rFonts w:cs="Arial"/>
          <w:lang w:val="fr-BE"/>
        </w:rPr>
      </w:pPr>
    </w:p>
    <w:p w:rsidR="00254DD3" w:rsidRPr="00CF7661" w:rsidRDefault="00254DD3" w:rsidP="002D6C1E">
      <w:pPr>
        <w:pStyle w:val="DefaultText"/>
        <w:widowControl/>
        <w:jc w:val="both"/>
        <w:rPr>
          <w:rStyle w:val="InitialStyle"/>
          <w:rFonts w:cs="Arial"/>
          <w:lang w:val="fr-BE"/>
        </w:rPr>
      </w:pP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50262">
        <w:rPr>
          <w:rStyle w:val="InitialStyle"/>
          <w:rFonts w:cs="Arial"/>
          <w:i/>
          <w:sz w:val="22"/>
          <w:szCs w:val="22"/>
          <w:lang w:val="fr-BE"/>
        </w:rPr>
        <w:t>XXX</w:t>
      </w: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b/>
          <w:i/>
          <w:sz w:val="22"/>
          <w:szCs w:val="22"/>
          <w:lang w:val="fr-BE"/>
        </w:rPr>
      </w:pPr>
      <w:r w:rsidRPr="00450262">
        <w:rPr>
          <w:rStyle w:val="InitialStyle"/>
          <w:rFonts w:cs="Arial"/>
          <w:i/>
          <w:sz w:val="22"/>
          <w:szCs w:val="22"/>
          <w:lang w:val="fr-BE"/>
        </w:rPr>
        <w:t>Le commissaire</w:t>
      </w: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50262">
        <w:rPr>
          <w:rStyle w:val="InitialStyle"/>
          <w:rFonts w:cs="Arial"/>
          <w:i/>
          <w:sz w:val="22"/>
          <w:szCs w:val="22"/>
          <w:lang w:val="fr-BE"/>
        </w:rPr>
        <w:t>Repr</w:t>
      </w:r>
      <w:r>
        <w:rPr>
          <w:rStyle w:val="InitialStyle"/>
          <w:rFonts w:cs="Arial"/>
          <w:i/>
          <w:sz w:val="22"/>
          <w:szCs w:val="22"/>
          <w:lang w:val="fr-BE"/>
        </w:rPr>
        <w:t>é</w:t>
      </w:r>
      <w:r w:rsidRPr="00450262">
        <w:rPr>
          <w:rStyle w:val="InitialStyle"/>
          <w:rFonts w:cs="Arial"/>
          <w:i/>
          <w:sz w:val="22"/>
          <w:szCs w:val="22"/>
          <w:lang w:val="fr-BE"/>
        </w:rPr>
        <w:t>senté par</w:t>
      </w: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</w:p>
    <w:p w:rsidR="00254DD3" w:rsidRPr="00377F7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sz w:val="22"/>
          <w:szCs w:val="22"/>
          <w:lang w:val="fr-BE"/>
        </w:rPr>
      </w:pPr>
      <w:r w:rsidRPr="00450262">
        <w:rPr>
          <w:rStyle w:val="InitialStyle"/>
          <w:rFonts w:cs="Arial"/>
          <w:i/>
          <w:sz w:val="22"/>
          <w:szCs w:val="22"/>
          <w:lang w:val="fr-BE"/>
        </w:rPr>
        <w:t>YYY</w:t>
      </w:r>
    </w:p>
    <w:p w:rsidR="00254DD3" w:rsidRPr="00AB3A90" w:rsidRDefault="00254DD3" w:rsidP="002D6C1E">
      <w:pPr>
        <w:pStyle w:val="DefaultText"/>
        <w:widowControl/>
        <w:jc w:val="both"/>
        <w:rPr>
          <w:rStyle w:val="InitialStyle"/>
          <w:rFonts w:cs="Arial"/>
          <w:i/>
          <w:color w:val="FF0000"/>
          <w:sz w:val="22"/>
          <w:szCs w:val="22"/>
          <w:lang w:val="fr-FR"/>
        </w:rPr>
      </w:pPr>
      <w:r w:rsidRPr="00AB3A90">
        <w:rPr>
          <w:rStyle w:val="InitialStyle"/>
          <w:rFonts w:cs="Arial"/>
          <w:i/>
          <w:sz w:val="22"/>
          <w:szCs w:val="22"/>
          <w:lang w:val="fr-FR"/>
        </w:rPr>
        <w:t>Réviseur d’Entreprises</w:t>
      </w:r>
    </w:p>
    <w:p w:rsidR="00254DD3" w:rsidRPr="00AB3A90" w:rsidRDefault="00254DD3" w:rsidP="00142369">
      <w:pPr>
        <w:jc w:val="both"/>
        <w:rPr>
          <w:rStyle w:val="InitialStyle"/>
          <w:rFonts w:ascii="Times New Roman" w:hAnsi="Times New Roman" w:cs="Arial"/>
          <w:i/>
          <w:snapToGrid w:val="0"/>
          <w:color w:val="FF0000"/>
          <w:sz w:val="22"/>
          <w:szCs w:val="22"/>
          <w:lang w:val="fr-FR"/>
        </w:rPr>
      </w:pPr>
    </w:p>
    <w:p w:rsidR="00254DD3" w:rsidRPr="00AB3A90" w:rsidRDefault="00254DD3" w:rsidP="00142369">
      <w:pPr>
        <w:jc w:val="both"/>
        <w:rPr>
          <w:rStyle w:val="InitialStyle"/>
          <w:rFonts w:ascii="Times New Roman" w:hAnsi="Times New Roman" w:cs="Arial"/>
          <w:i/>
          <w:snapToGrid w:val="0"/>
          <w:color w:val="FF0000"/>
          <w:sz w:val="22"/>
          <w:szCs w:val="22"/>
          <w:lang w:val="fr-FR"/>
        </w:rPr>
      </w:pPr>
    </w:p>
    <w:p w:rsidR="00254DD3" w:rsidRPr="00AB3A90" w:rsidRDefault="00254DD3" w:rsidP="00142369">
      <w:pPr>
        <w:jc w:val="both"/>
        <w:rPr>
          <w:rStyle w:val="InitialStyle"/>
          <w:rFonts w:ascii="Times New Roman" w:hAnsi="Times New Roman" w:cs="Arial"/>
          <w:i/>
          <w:snapToGrid w:val="0"/>
          <w:color w:val="FF0000"/>
          <w:sz w:val="22"/>
          <w:szCs w:val="22"/>
          <w:lang w:val="fr-FR"/>
        </w:rPr>
      </w:pPr>
    </w:p>
    <w:p w:rsidR="00254DD3" w:rsidRPr="00377F70" w:rsidRDefault="00254DD3" w:rsidP="00142369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</w:p>
    <w:p w:rsidR="00254DD3" w:rsidRPr="00AB3A90" w:rsidRDefault="00254DD3" w:rsidP="0071667B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  <w:r w:rsidRPr="00AB3A90">
        <w:rPr>
          <w:rFonts w:ascii="Times New Roman" w:hAnsi="Times New Roman"/>
          <w:i/>
          <w:sz w:val="22"/>
          <w:szCs w:val="22"/>
          <w:lang w:val="fr-FR"/>
        </w:rPr>
        <w:t>Lieu, date</w:t>
      </w:r>
    </w:p>
    <w:p w:rsidR="00254DD3" w:rsidRPr="00AB3A90" w:rsidRDefault="00254DD3" w:rsidP="0071667B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</w:p>
    <w:p w:rsidR="00254DD3" w:rsidRPr="00AB3A90" w:rsidRDefault="00254DD3" w:rsidP="0071667B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</w:p>
    <w:p w:rsidR="00254DD3" w:rsidRPr="00AB3A90" w:rsidRDefault="00254DD3" w:rsidP="0071667B">
      <w:pPr>
        <w:jc w:val="both"/>
        <w:rPr>
          <w:rFonts w:ascii="Times New Roman" w:hAnsi="Times New Roman"/>
          <w:i/>
          <w:sz w:val="22"/>
          <w:szCs w:val="22"/>
          <w:lang w:val="fr-FR"/>
        </w:rPr>
      </w:pPr>
    </w:p>
    <w:p w:rsidR="00254DD3" w:rsidRPr="00A47924" w:rsidRDefault="00254DD3" w:rsidP="0071667B">
      <w:pPr>
        <w:jc w:val="both"/>
        <w:rPr>
          <w:rFonts w:ascii="Times New Roman" w:hAnsi="Times New Roman"/>
          <w:b/>
          <w:sz w:val="22"/>
          <w:szCs w:val="22"/>
          <w:lang w:val="fr-FR"/>
        </w:rPr>
      </w:pPr>
    </w:p>
    <w:sectPr w:rsidR="00254DD3" w:rsidRPr="00A47924" w:rsidSect="002C12E9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41" w:rsidRDefault="00F91F41" w:rsidP="001E523B">
      <w:r>
        <w:separator/>
      </w:r>
    </w:p>
  </w:endnote>
  <w:endnote w:type="continuationSeparator" w:id="0">
    <w:p w:rsidR="00F91F41" w:rsidRDefault="00F91F41" w:rsidP="001E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D3" w:rsidRDefault="00254DD3" w:rsidP="005B7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4DD3" w:rsidRDefault="00254DD3" w:rsidP="00A4792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D3" w:rsidRDefault="00254DD3" w:rsidP="005B7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3C29">
      <w:rPr>
        <w:rStyle w:val="PageNumber"/>
        <w:noProof/>
      </w:rPr>
      <w:t>3</w:t>
    </w:r>
    <w:r>
      <w:rPr>
        <w:rStyle w:val="PageNumber"/>
      </w:rPr>
      <w:fldChar w:fldCharType="end"/>
    </w:r>
  </w:p>
  <w:p w:rsidR="00254DD3" w:rsidRDefault="00254DD3" w:rsidP="00A47924">
    <w:pPr>
      <w:pStyle w:val="Footer"/>
      <w:ind w:right="360"/>
    </w:pPr>
  </w:p>
  <w:p w:rsidR="00254DD3" w:rsidRDefault="00254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41" w:rsidRDefault="00F91F41" w:rsidP="001E523B">
      <w:r>
        <w:separator/>
      </w:r>
    </w:p>
  </w:footnote>
  <w:footnote w:type="continuationSeparator" w:id="0">
    <w:p w:rsidR="00F91F41" w:rsidRDefault="00F91F41" w:rsidP="001E523B">
      <w:r>
        <w:continuationSeparator/>
      </w:r>
    </w:p>
  </w:footnote>
  <w:footnote w:id="1">
    <w:p w:rsidR="005C28A5" w:rsidRPr="00CF7661" w:rsidRDefault="005C28A5" w:rsidP="005C28A5">
      <w:pPr>
        <w:pStyle w:val="EndnoteText"/>
        <w:jc w:val="both"/>
        <w:rPr>
          <w:rFonts w:ascii="Times New Roman" w:hAnsi="Times New Roman"/>
          <w:lang w:val="fr-BE"/>
        </w:rPr>
      </w:pPr>
      <w:r>
        <w:rPr>
          <w:rStyle w:val="FootnoteReference"/>
        </w:rPr>
        <w:footnoteRef/>
      </w:r>
      <w:r w:rsidRPr="00CF564F">
        <w:rPr>
          <w:lang w:val="fr-BE"/>
        </w:rPr>
        <w:t xml:space="preserve"> </w:t>
      </w:r>
      <w:r w:rsidRPr="00CF7661">
        <w:rPr>
          <w:rFonts w:ascii="Times New Roman" w:hAnsi="Times New Roman"/>
          <w:lang w:val="fr-BE"/>
        </w:rPr>
        <w:t>La conclusion doit être adaptée si certaines indications existe</w:t>
      </w:r>
      <w:r>
        <w:rPr>
          <w:rFonts w:ascii="Times New Roman" w:hAnsi="Times New Roman"/>
          <w:lang w:val="fr-BE"/>
        </w:rPr>
        <w:t>nt que, par exemple</w:t>
      </w:r>
      <w:r w:rsidRPr="00CF7661">
        <w:rPr>
          <w:rFonts w:ascii="Times New Roman" w:hAnsi="Times New Roman"/>
          <w:lang w:val="fr-BE"/>
        </w:rPr>
        <w:t>:</w:t>
      </w:r>
    </w:p>
    <w:p w:rsidR="005C28A5" w:rsidRPr="00CF7661" w:rsidRDefault="005C28A5" w:rsidP="005C28A5">
      <w:pPr>
        <w:pStyle w:val="Endnote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/>
          <w:lang w:val="fr-BE"/>
        </w:rPr>
      </w:pPr>
      <w:r w:rsidRPr="00CF7661">
        <w:rPr>
          <w:rFonts w:ascii="Times New Roman" w:hAnsi="Times New Roman"/>
          <w:lang w:val="fr-BE"/>
        </w:rPr>
        <w:t>Les données communiquées n</w:t>
      </w:r>
      <w:r>
        <w:rPr>
          <w:rFonts w:ascii="Times New Roman" w:hAnsi="Times New Roman"/>
          <w:lang w:val="fr-BE"/>
        </w:rPr>
        <w:t>’ont pas été établies</w:t>
      </w:r>
      <w:r w:rsidRPr="00CF7661">
        <w:rPr>
          <w:rFonts w:ascii="Times New Roman" w:hAnsi="Times New Roman"/>
          <w:lang w:val="fr-BE"/>
        </w:rPr>
        <w:t xml:space="preserve"> conformément aux dispositions de l’arrêté du </w:t>
      </w:r>
      <w:r>
        <w:rPr>
          <w:rFonts w:ascii="Times New Roman" w:hAnsi="Times New Roman"/>
          <w:lang w:val="fr-BE"/>
        </w:rPr>
        <w:t>1</w:t>
      </w:r>
      <w:r w:rsidRPr="002C050A">
        <w:rPr>
          <w:rFonts w:ascii="Times New Roman" w:hAnsi="Times New Roman"/>
          <w:vertAlign w:val="superscript"/>
          <w:lang w:val="fr-BE"/>
        </w:rPr>
        <w:t>er</w:t>
      </w:r>
      <w:r w:rsidRPr="00CF7661">
        <w:rPr>
          <w:rFonts w:ascii="Times New Roman" w:hAnsi="Times New Roman"/>
          <w:lang w:val="fr-BE"/>
        </w:rPr>
        <w:t xml:space="preserve"> février 2010 et/ou </w:t>
      </w:r>
      <w:r>
        <w:rPr>
          <w:rFonts w:ascii="Times New Roman" w:hAnsi="Times New Roman"/>
          <w:lang w:val="fr-BE"/>
        </w:rPr>
        <w:t>les instructions supplémentaires de la FSMA du 4 avril 2017.</w:t>
      </w:r>
    </w:p>
    <w:p w:rsidR="005C28A5" w:rsidRPr="003B2202" w:rsidRDefault="005C28A5" w:rsidP="005C28A5">
      <w:pPr>
        <w:pStyle w:val="EndnoteText"/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lang w:val="fr-BE"/>
        </w:rPr>
      </w:pPr>
      <w:r w:rsidRPr="00CF7661">
        <w:rPr>
          <w:rFonts w:ascii="Times New Roman" w:hAnsi="Times New Roman"/>
          <w:lang w:val="fr-BE"/>
        </w:rPr>
        <w:t xml:space="preserve">Le processus de </w:t>
      </w:r>
      <w:r>
        <w:rPr>
          <w:rFonts w:ascii="Times New Roman" w:hAnsi="Times New Roman"/>
          <w:lang w:val="fr-BE"/>
        </w:rPr>
        <w:t xml:space="preserve">mis en place en vue d’établir la </w:t>
      </w:r>
      <w:r w:rsidRPr="00CF7661">
        <w:rPr>
          <w:rFonts w:ascii="Times New Roman" w:hAnsi="Times New Roman"/>
          <w:lang w:val="fr-BE"/>
        </w:rPr>
        <w:t>déclaration comporte des lacunes significatives et</w:t>
      </w:r>
      <w:r>
        <w:rPr>
          <w:rFonts w:ascii="Times New Roman" w:hAnsi="Times New Roman"/>
          <w:lang w:val="fr-BE"/>
        </w:rPr>
        <w:t xml:space="preserve"> de ce fait</w:t>
      </w:r>
      <w:r w:rsidRPr="00CF7661">
        <w:rPr>
          <w:rFonts w:ascii="Times New Roman" w:hAnsi="Times New Roman"/>
          <w:lang w:val="fr-BE"/>
        </w:rPr>
        <w:t xml:space="preserve"> la fiabilité de l’information</w:t>
      </w:r>
      <w:r>
        <w:rPr>
          <w:rFonts w:ascii="Times New Roman" w:hAnsi="Times New Roman"/>
          <w:lang w:val="fr-BE"/>
        </w:rPr>
        <w:t xml:space="preserve"> ne peut être garantie</w:t>
      </w:r>
      <w:r w:rsidRPr="00CF7661">
        <w:rPr>
          <w:rFonts w:ascii="Times New Roman" w:hAnsi="Times New Roman"/>
          <w:lang w:val="fr-BE"/>
        </w:rPr>
        <w:t xml:space="preserve"> (sauf s’il est possible d</w:t>
      </w:r>
      <w:r>
        <w:rPr>
          <w:rFonts w:ascii="Times New Roman" w:hAnsi="Times New Roman"/>
          <w:lang w:val="fr-BE"/>
        </w:rPr>
        <w:t>e s’</w:t>
      </w:r>
      <w:r w:rsidRPr="00CF7661">
        <w:rPr>
          <w:rFonts w:ascii="Times New Roman" w:hAnsi="Times New Roman"/>
          <w:lang w:val="fr-BE"/>
        </w:rPr>
        <w:t xml:space="preserve">exprimer </w:t>
      </w:r>
      <w:r>
        <w:rPr>
          <w:rFonts w:ascii="Times New Roman" w:hAnsi="Times New Roman"/>
          <w:lang w:val="fr-BE"/>
        </w:rPr>
        <w:t xml:space="preserve">quant à </w:t>
      </w:r>
      <w:r w:rsidRPr="00CF7661">
        <w:rPr>
          <w:rFonts w:ascii="Times New Roman" w:hAnsi="Times New Roman"/>
          <w:lang w:val="fr-BE"/>
        </w:rPr>
        <w:t xml:space="preserve">la fiabilité des données communiquées via des méthodes alternatives </w:t>
      </w:r>
      <w:r>
        <w:rPr>
          <w:rFonts w:ascii="Times New Roman" w:hAnsi="Times New Roman"/>
          <w:lang w:val="fr-BE"/>
        </w:rPr>
        <w:t>ayant pu donner une assurance raisonnable quant à la fiabilité des données déclarées</w:t>
      </w:r>
      <w:r w:rsidRPr="00CF7661">
        <w:rPr>
          <w:rFonts w:ascii="Times New Roman" w:hAnsi="Times New Roman"/>
          <w:lang w:val="fr-BE"/>
        </w:rPr>
        <w:t>).</w:t>
      </w:r>
    </w:p>
    <w:p w:rsidR="005C28A5" w:rsidRPr="00CF564F" w:rsidRDefault="005C28A5">
      <w:pPr>
        <w:pStyle w:val="FootnoteText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DD3" w:rsidRPr="000E10BD" w:rsidRDefault="00254DD3">
    <w:pPr>
      <w:pStyle w:val="Header"/>
      <w:rPr>
        <w:rFonts w:ascii="Times New Roman" w:hAnsi="Times New Roman"/>
        <w:b/>
        <w:sz w:val="18"/>
        <w:szCs w:val="18"/>
        <w:lang w:val="fr-BE"/>
      </w:rPr>
    </w:pPr>
    <w:r w:rsidRPr="000E10BD">
      <w:rPr>
        <w:rFonts w:ascii="Times New Roman" w:hAnsi="Times New Roman"/>
        <w:b/>
        <w:sz w:val="18"/>
        <w:szCs w:val="18"/>
        <w:lang w:val="fr-BE"/>
      </w:rPr>
      <w:t xml:space="preserve">Rapport modèle: version du </w:t>
    </w:r>
    <w:r w:rsidR="0063779A">
      <w:rPr>
        <w:rFonts w:ascii="Times New Roman" w:hAnsi="Times New Roman"/>
        <w:b/>
        <w:sz w:val="18"/>
        <w:szCs w:val="18"/>
        <w:lang w:val="fr-BE"/>
      </w:rPr>
      <w:t>2</w:t>
    </w:r>
    <w:r w:rsidR="00207ECD">
      <w:rPr>
        <w:rFonts w:ascii="Times New Roman" w:hAnsi="Times New Roman"/>
        <w:b/>
        <w:sz w:val="18"/>
        <w:szCs w:val="18"/>
        <w:lang w:val="fr-BE"/>
      </w:rPr>
      <w:t>0</w:t>
    </w:r>
    <w:r w:rsidR="0063779A" w:rsidRPr="000E10BD">
      <w:rPr>
        <w:rFonts w:ascii="Times New Roman" w:hAnsi="Times New Roman"/>
        <w:b/>
        <w:sz w:val="18"/>
        <w:szCs w:val="18"/>
        <w:lang w:val="fr-BE"/>
      </w:rPr>
      <w:t xml:space="preserve"> </w:t>
    </w:r>
    <w:r w:rsidR="0063779A">
      <w:rPr>
        <w:rFonts w:ascii="Times New Roman" w:hAnsi="Times New Roman"/>
        <w:b/>
        <w:sz w:val="18"/>
        <w:szCs w:val="18"/>
        <w:lang w:val="fr-BE"/>
      </w:rPr>
      <w:t>avril</w:t>
    </w:r>
    <w:r w:rsidR="0063779A" w:rsidRPr="000E10BD">
      <w:rPr>
        <w:rFonts w:ascii="Times New Roman" w:hAnsi="Times New Roman"/>
        <w:b/>
        <w:sz w:val="18"/>
        <w:szCs w:val="18"/>
        <w:lang w:val="fr-BE"/>
      </w:rPr>
      <w:t xml:space="preserve"> </w:t>
    </w:r>
    <w:r w:rsidRPr="000E10BD">
      <w:rPr>
        <w:rFonts w:ascii="Times New Roman" w:hAnsi="Times New Roman"/>
        <w:b/>
        <w:sz w:val="18"/>
        <w:szCs w:val="18"/>
        <w:lang w:val="fr-BE"/>
      </w:rPr>
      <w:t>201</w:t>
    </w:r>
    <w:r w:rsidR="0063779A">
      <w:rPr>
        <w:rFonts w:ascii="Times New Roman" w:hAnsi="Times New Roman"/>
        <w:b/>
        <w:sz w:val="18"/>
        <w:szCs w:val="18"/>
        <w:lang w:val="fr-BE"/>
      </w:rPr>
      <w:t>7</w:t>
    </w:r>
  </w:p>
  <w:p w:rsidR="00254DD3" w:rsidRPr="00062FEA" w:rsidRDefault="00254DD3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9A0A07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1E72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8EFE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3087F47"/>
    <w:multiLevelType w:val="hybridMultilevel"/>
    <w:tmpl w:val="8E7EEB36"/>
    <w:lvl w:ilvl="0" w:tplc="9BDCD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302D"/>
    <w:multiLevelType w:val="hybridMultilevel"/>
    <w:tmpl w:val="B4802AC8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3C3F"/>
    <w:multiLevelType w:val="singleLevel"/>
    <w:tmpl w:val="05F84EE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6" w15:restartNumberingAfterBreak="0">
    <w:nsid w:val="792F4055"/>
    <w:multiLevelType w:val="hybridMultilevel"/>
    <w:tmpl w:val="84FE97CE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17217"/>
    <w:multiLevelType w:val="hybridMultilevel"/>
    <w:tmpl w:val="34F2729C"/>
    <w:lvl w:ilvl="0" w:tplc="CF14D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3B"/>
    <w:rsid w:val="0001143C"/>
    <w:rsid w:val="000171AB"/>
    <w:rsid w:val="00052F65"/>
    <w:rsid w:val="00060B8E"/>
    <w:rsid w:val="00062FEA"/>
    <w:rsid w:val="00072708"/>
    <w:rsid w:val="00082D7F"/>
    <w:rsid w:val="00086BC1"/>
    <w:rsid w:val="00093624"/>
    <w:rsid w:val="000A130A"/>
    <w:rsid w:val="000E10BD"/>
    <w:rsid w:val="000E15BE"/>
    <w:rsid w:val="000E33C8"/>
    <w:rsid w:val="0011115E"/>
    <w:rsid w:val="00115515"/>
    <w:rsid w:val="0011590F"/>
    <w:rsid w:val="00117774"/>
    <w:rsid w:val="00137D8E"/>
    <w:rsid w:val="00142369"/>
    <w:rsid w:val="0017067A"/>
    <w:rsid w:val="001A5251"/>
    <w:rsid w:val="001D770B"/>
    <w:rsid w:val="001D79B3"/>
    <w:rsid w:val="001E231B"/>
    <w:rsid w:val="001E523B"/>
    <w:rsid w:val="00207ECD"/>
    <w:rsid w:val="002102B4"/>
    <w:rsid w:val="00234681"/>
    <w:rsid w:val="00235B4E"/>
    <w:rsid w:val="00246BE6"/>
    <w:rsid w:val="00254DD3"/>
    <w:rsid w:val="0026520A"/>
    <w:rsid w:val="00296310"/>
    <w:rsid w:val="002A2978"/>
    <w:rsid w:val="002B30D7"/>
    <w:rsid w:val="002C050A"/>
    <w:rsid w:val="002C12E9"/>
    <w:rsid w:val="002D0FCB"/>
    <w:rsid w:val="002D6C1E"/>
    <w:rsid w:val="002F482D"/>
    <w:rsid w:val="00343602"/>
    <w:rsid w:val="0037773B"/>
    <w:rsid w:val="00377F70"/>
    <w:rsid w:val="003B472F"/>
    <w:rsid w:val="003D59F0"/>
    <w:rsid w:val="003F04F8"/>
    <w:rsid w:val="00415248"/>
    <w:rsid w:val="0042739C"/>
    <w:rsid w:val="00434B3E"/>
    <w:rsid w:val="00450262"/>
    <w:rsid w:val="004659C0"/>
    <w:rsid w:val="00490075"/>
    <w:rsid w:val="004941C4"/>
    <w:rsid w:val="004A7103"/>
    <w:rsid w:val="004A7B70"/>
    <w:rsid w:val="004C16CA"/>
    <w:rsid w:val="004D16F6"/>
    <w:rsid w:val="004E0047"/>
    <w:rsid w:val="00500470"/>
    <w:rsid w:val="00502A6F"/>
    <w:rsid w:val="00527E71"/>
    <w:rsid w:val="0054471C"/>
    <w:rsid w:val="005A6180"/>
    <w:rsid w:val="005B7B0B"/>
    <w:rsid w:val="005C28A5"/>
    <w:rsid w:val="005D74BB"/>
    <w:rsid w:val="0063779A"/>
    <w:rsid w:val="00677F52"/>
    <w:rsid w:val="00692B01"/>
    <w:rsid w:val="00700CF2"/>
    <w:rsid w:val="0071667B"/>
    <w:rsid w:val="00720903"/>
    <w:rsid w:val="00730C8E"/>
    <w:rsid w:val="00736515"/>
    <w:rsid w:val="0074115D"/>
    <w:rsid w:val="00743A0F"/>
    <w:rsid w:val="00744A22"/>
    <w:rsid w:val="00780A66"/>
    <w:rsid w:val="007D0B1B"/>
    <w:rsid w:val="007D6311"/>
    <w:rsid w:val="007F6B8C"/>
    <w:rsid w:val="00840706"/>
    <w:rsid w:val="00865D8D"/>
    <w:rsid w:val="008B2A2B"/>
    <w:rsid w:val="008C2F73"/>
    <w:rsid w:val="00921F1B"/>
    <w:rsid w:val="00940942"/>
    <w:rsid w:val="009435B7"/>
    <w:rsid w:val="009A6394"/>
    <w:rsid w:val="009B6B16"/>
    <w:rsid w:val="009D5162"/>
    <w:rsid w:val="00A005CF"/>
    <w:rsid w:val="00A15918"/>
    <w:rsid w:val="00A15DB9"/>
    <w:rsid w:val="00A33C29"/>
    <w:rsid w:val="00A47924"/>
    <w:rsid w:val="00A62135"/>
    <w:rsid w:val="00A707D1"/>
    <w:rsid w:val="00AA1C23"/>
    <w:rsid w:val="00AB0E63"/>
    <w:rsid w:val="00AB3A90"/>
    <w:rsid w:val="00AD53DF"/>
    <w:rsid w:val="00AE12BD"/>
    <w:rsid w:val="00AE7BBA"/>
    <w:rsid w:val="00B00B30"/>
    <w:rsid w:val="00B40F2B"/>
    <w:rsid w:val="00B44C42"/>
    <w:rsid w:val="00B450A0"/>
    <w:rsid w:val="00B562D8"/>
    <w:rsid w:val="00BB026B"/>
    <w:rsid w:val="00BE133A"/>
    <w:rsid w:val="00C16B0B"/>
    <w:rsid w:val="00C364FD"/>
    <w:rsid w:val="00C9001E"/>
    <w:rsid w:val="00C92CAC"/>
    <w:rsid w:val="00CB17D3"/>
    <w:rsid w:val="00CE1C8D"/>
    <w:rsid w:val="00CF564F"/>
    <w:rsid w:val="00CF7661"/>
    <w:rsid w:val="00D322F8"/>
    <w:rsid w:val="00D35E7A"/>
    <w:rsid w:val="00D44F3B"/>
    <w:rsid w:val="00D97078"/>
    <w:rsid w:val="00DC7DE8"/>
    <w:rsid w:val="00DF131F"/>
    <w:rsid w:val="00E04F03"/>
    <w:rsid w:val="00E07595"/>
    <w:rsid w:val="00E12A20"/>
    <w:rsid w:val="00E517BB"/>
    <w:rsid w:val="00E74518"/>
    <w:rsid w:val="00ED654A"/>
    <w:rsid w:val="00F321D3"/>
    <w:rsid w:val="00F328A3"/>
    <w:rsid w:val="00F333DF"/>
    <w:rsid w:val="00F47B31"/>
    <w:rsid w:val="00F514A8"/>
    <w:rsid w:val="00F91F41"/>
    <w:rsid w:val="00FC2EB8"/>
    <w:rsid w:val="00FD67DA"/>
    <w:rsid w:val="00FF38F4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1A9876-69BB-4C16-9667-9A06FC29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2E9"/>
    <w:rPr>
      <w:rFonts w:ascii="Arial" w:hAnsi="Arial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523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1E523B"/>
    <w:rPr>
      <w:rFonts w:ascii="Arial" w:hAnsi="Arial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E523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1E523B"/>
    <w:rPr>
      <w:rFonts w:ascii="Arial" w:hAnsi="Arial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E5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E523B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"/>
    <w:uiPriority w:val="99"/>
    <w:rsid w:val="00A005CF"/>
    <w:rPr>
      <w:szCs w:val="20"/>
    </w:rPr>
  </w:style>
  <w:style w:type="character" w:customStyle="1" w:styleId="EndnoteTextChar">
    <w:name w:val="Endnote Text Char"/>
    <w:link w:val="EndnoteText"/>
    <w:uiPriority w:val="99"/>
    <w:locked/>
    <w:rsid w:val="00A005CF"/>
    <w:rPr>
      <w:rFonts w:ascii="Arial" w:hAnsi="Arial" w:cs="Times New Roman"/>
      <w:lang w:eastAsia="en-US"/>
    </w:rPr>
  </w:style>
  <w:style w:type="character" w:styleId="EndnoteReference">
    <w:name w:val="endnote reference"/>
    <w:uiPriority w:val="99"/>
    <w:semiHidden/>
    <w:rsid w:val="00A005C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05CF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005CF"/>
    <w:rPr>
      <w:rFonts w:ascii="Arial" w:hAnsi="Arial" w:cs="Times New Roman"/>
      <w:lang w:eastAsia="en-US"/>
    </w:rPr>
  </w:style>
  <w:style w:type="character" w:styleId="FootnoteReference">
    <w:name w:val="footnote reference"/>
    <w:uiPriority w:val="99"/>
    <w:semiHidden/>
    <w:rsid w:val="00A005CF"/>
    <w:rPr>
      <w:rFonts w:cs="Times New Roman"/>
      <w:vertAlign w:val="superscript"/>
    </w:rPr>
  </w:style>
  <w:style w:type="paragraph" w:customStyle="1" w:styleId="DefaultText">
    <w:name w:val="Default Text"/>
    <w:basedOn w:val="Normal"/>
    <w:uiPriority w:val="99"/>
    <w:rsid w:val="002D6C1E"/>
    <w:pPr>
      <w:widowControl w:val="0"/>
    </w:pPr>
    <w:rPr>
      <w:rFonts w:ascii="Times New Roman" w:hAnsi="Times New Roman"/>
      <w:sz w:val="24"/>
      <w:szCs w:val="20"/>
      <w:lang w:val="nl-NL"/>
    </w:rPr>
  </w:style>
  <w:style w:type="character" w:customStyle="1" w:styleId="InitialStyle">
    <w:name w:val="InitialStyle"/>
    <w:uiPriority w:val="99"/>
    <w:rsid w:val="002D6C1E"/>
  </w:style>
  <w:style w:type="paragraph" w:styleId="BlockText">
    <w:name w:val="Block Text"/>
    <w:basedOn w:val="Normal"/>
    <w:uiPriority w:val="99"/>
    <w:rsid w:val="0074115D"/>
    <w:pPr>
      <w:widowControl w:val="0"/>
      <w:tabs>
        <w:tab w:val="left" w:pos="-918"/>
        <w:tab w:val="left" w:pos="-465"/>
        <w:tab w:val="left" w:pos="385"/>
        <w:tab w:val="left" w:pos="810"/>
        <w:tab w:val="left" w:pos="1236"/>
        <w:tab w:val="left" w:pos="1661"/>
        <w:tab w:val="left" w:pos="2085"/>
        <w:tab w:val="left" w:pos="2511"/>
        <w:tab w:val="left" w:pos="2936"/>
        <w:tab w:val="decimal" w:pos="4070"/>
        <w:tab w:val="decimal" w:pos="5487"/>
        <w:tab w:val="decimal" w:pos="6905"/>
        <w:tab w:val="decimal" w:pos="8322"/>
      </w:tabs>
      <w:spacing w:line="264" w:lineRule="auto"/>
      <w:ind w:left="426" w:right="-590"/>
      <w:jc w:val="both"/>
    </w:pPr>
    <w:rPr>
      <w:rFonts w:ascii="Times New Roman" w:hAnsi="Times New Roman"/>
      <w:kern w:val="20"/>
      <w:sz w:val="22"/>
      <w:szCs w:val="20"/>
      <w:lang w:val="fr-FR"/>
    </w:rPr>
  </w:style>
  <w:style w:type="paragraph" w:styleId="ListParagraph">
    <w:name w:val="List Paragraph"/>
    <w:basedOn w:val="Normal"/>
    <w:uiPriority w:val="99"/>
    <w:qFormat/>
    <w:rsid w:val="0017067A"/>
    <w:pPr>
      <w:ind w:left="720"/>
      <w:contextualSpacing/>
    </w:pPr>
  </w:style>
  <w:style w:type="character" w:styleId="PageNumber">
    <w:name w:val="page number"/>
    <w:uiPriority w:val="99"/>
    <w:rsid w:val="005A61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C9DEE87D3CF47854F31C5443F9A95" ma:contentTypeVersion="2" ma:contentTypeDescription="Create a new document." ma:contentTypeScope="" ma:versionID="4685f11c3b6aa385649488d7ae30f1c7">
  <xsd:schema xmlns:xsd="http://www.w3.org/2001/XMLSchema" xmlns:xs="http://www.w3.org/2001/XMLSchema" xmlns:p="http://schemas.microsoft.com/office/2006/metadata/properties" xmlns:ns2="faaac0df-efe7-4498-8ba6-14a9bebb9fed" xmlns:ns3="5686ba21-fff5-445f-84ce-5520207d3563" targetNamespace="http://schemas.microsoft.com/office/2006/metadata/properties" ma:root="true" ma:fieldsID="18dcf38945d1cecdc0f5770e29885cbf" ns2:_="" ns3:_="">
    <xsd:import namespace="faaac0df-efe7-4498-8ba6-14a9bebb9fed"/>
    <xsd:import namespace="5686ba21-fff5-445f-84ce-5520207d3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ac0df-efe7-4498-8ba6-14a9bebb9f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6ba21-fff5-445f-84ce-5520207d3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aac0df-efe7-4498-8ba6-14a9bebb9fed">M7HXY6ZP62CE-1431-106</_dlc_DocId>
    <_dlc_DocIdUrl xmlns="faaac0df-efe7-4498-8ba6-14a9bebb9fed">
      <Url>https://doc.ibr-ire.be/fr/_layouts/15/DocIdRedir.aspx?ID=M7HXY6ZP62CE-1431-106</Url>
      <Description>M7HXY6ZP62CE-1431-106</Description>
    </_dlc_DocIdUrl>
  </documentManagement>
</p:properties>
</file>

<file path=customXml/itemProps1.xml><?xml version="1.0" encoding="utf-8"?>
<ds:datastoreItem xmlns:ds="http://schemas.openxmlformats.org/officeDocument/2006/customXml" ds:itemID="{54389E71-63A1-4D82-AC1F-C5A03153A087}"/>
</file>

<file path=customXml/itemProps2.xml><?xml version="1.0" encoding="utf-8"?>
<ds:datastoreItem xmlns:ds="http://schemas.openxmlformats.org/officeDocument/2006/customXml" ds:itemID="{6B1D30B1-DC0A-42A7-B9BD-35BEC566F52D}"/>
</file>

<file path=customXml/itemProps3.xml><?xml version="1.0" encoding="utf-8"?>
<ds:datastoreItem xmlns:ds="http://schemas.openxmlformats.org/officeDocument/2006/customXml" ds:itemID="{05E0B36F-E1B5-4A80-A8DC-106392069574}"/>
</file>

<file path=customXml/itemProps4.xml><?xml version="1.0" encoding="utf-8"?>
<ds:datastoreItem xmlns:ds="http://schemas.openxmlformats.org/officeDocument/2006/customXml" ds:itemID="{86FC368F-7E09-4C59-A5DB-042FF1A461A6}"/>
</file>

<file path=customXml/itemProps5.xml><?xml version="1.0" encoding="utf-8"?>
<ds:datastoreItem xmlns:ds="http://schemas.openxmlformats.org/officeDocument/2006/customXml" ds:itemID="{F1C1AE1D-7123-415B-B2A3-FA3CA7598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du commissaire de (identification de l’institution) à la CBFA conformément à l’article 4, §3 de l’arrêté royal du 1er février 2010 déterminant les indices spécifiques visés à l’article 138bis-4, §3, de la loi du 25 juin 1992 sur le contrat d’assu</vt:lpstr>
    </vt:vector>
  </TitlesOfParts>
  <Company>PricewaterhouseCoopers</Company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du commissaire de (identification de l’institution) à la CBFA conformément à l’article 4, §3 de l’arrêté royal du 1er février 2010 déterminant les indices spécifiques visés à l’article 138bis-4, §3, de la loi du 25 juin 1992 sur le contrat d’assu</dc:title>
  <dc:subject/>
  <dc:creator>Nicole Eppe</dc:creator>
  <cp:keywords/>
  <dc:description/>
  <cp:lastModifiedBy>Roelandt, Luk</cp:lastModifiedBy>
  <cp:revision>3</cp:revision>
  <cp:lastPrinted>2010-05-25T13:53:00Z</cp:lastPrinted>
  <dcterms:created xsi:type="dcterms:W3CDTF">2017-04-20T07:51:00Z</dcterms:created>
  <dcterms:modified xsi:type="dcterms:W3CDTF">2017-04-20T07:53:00Z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0x010100706C9DEE87D3CF47854F31C5443F9A95</vt:lpwstr>
  </property>
  <property fmtid="{D5CDD505-2E9C-101B-9397-08002B2CF9AE}" pid="3" name="_dlc_DocIdItemGuid">
    <vt:lpwstr>0d2cb57f-ffe6-4602-9fd7-958ec60b2c2a</vt:lpwstr>
  </property>
  <property fmtid="{D5CDD505-2E9C-101B-9397-08002B2CF9AE}" pid="4" name="URL">
    <vt:lpwstr/>
  </property>
  <property fmtid="{D5CDD505-2E9C-101B-9397-08002B2CF9AE}" pid="5" name="DocumentSetDescription">
    <vt:lpwstr/>
  </property>
</Properties>
</file>