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AE9" w:rsidRDefault="00340AE9"/>
    <w:tbl>
      <w:tblPr>
        <w:tblW w:w="8775" w:type="dxa"/>
        <w:tblInd w:w="-34" w:type="dxa"/>
        <w:tblLayout w:type="fixed"/>
        <w:tblLook w:val="01E0"/>
      </w:tblPr>
      <w:tblGrid>
        <w:gridCol w:w="4533"/>
        <w:gridCol w:w="4242"/>
      </w:tblGrid>
      <w:tr w:rsidR="00305C5B" w:rsidTr="00305C5B">
        <w:tc>
          <w:tcPr>
            <w:tcW w:w="4537" w:type="dxa"/>
          </w:tcPr>
          <w:p w:rsidR="00305C5B" w:rsidRDefault="00305C5B">
            <w:pPr>
              <w:spacing w:before="120" w:after="120"/>
              <w:jc w:val="center"/>
              <w:rPr>
                <w:b/>
                <w:bCs/>
                <w:caps/>
                <w:noProof/>
                <w:lang w:val="af-ZA"/>
              </w:rPr>
            </w:pPr>
            <w:r>
              <w:rPr>
                <w:b/>
                <w:bCs/>
                <w:caps/>
                <w:noProof/>
                <w:lang w:val="af-ZA"/>
              </w:rPr>
              <w:t>KONINKRIJK BELGIË</w:t>
            </w:r>
          </w:p>
          <w:p w:rsidR="00305C5B" w:rsidRDefault="00305C5B">
            <w:pPr>
              <w:spacing w:before="120" w:after="120"/>
              <w:jc w:val="center"/>
              <w:rPr>
                <w:b/>
                <w:bCs/>
                <w:caps/>
                <w:noProof/>
                <w:lang w:val="af-ZA"/>
              </w:rPr>
            </w:pPr>
          </w:p>
        </w:tc>
        <w:tc>
          <w:tcPr>
            <w:tcW w:w="4245" w:type="dxa"/>
            <w:hideMark/>
          </w:tcPr>
          <w:p w:rsidR="00305C5B" w:rsidRDefault="00305C5B">
            <w:pPr>
              <w:spacing w:before="120" w:after="120"/>
              <w:jc w:val="center"/>
              <w:rPr>
                <w:b/>
                <w:bCs/>
                <w:caps/>
                <w:noProof/>
                <w:lang w:val="af-ZA"/>
              </w:rPr>
            </w:pPr>
            <w:r>
              <w:rPr>
                <w:b/>
                <w:bCs/>
                <w:caps/>
                <w:noProof/>
                <w:lang w:val="af-ZA"/>
              </w:rPr>
              <w:t>ROYAUME DE BELGIQUE</w:t>
            </w:r>
          </w:p>
        </w:tc>
      </w:tr>
      <w:tr w:rsidR="00305C5B" w:rsidTr="00305C5B">
        <w:tc>
          <w:tcPr>
            <w:tcW w:w="4537" w:type="dxa"/>
            <w:hideMark/>
          </w:tcPr>
          <w:p w:rsidR="00305C5B" w:rsidRDefault="00305C5B">
            <w:pPr>
              <w:spacing w:before="120" w:after="120"/>
              <w:jc w:val="center"/>
              <w:rPr>
                <w:b/>
                <w:bCs/>
                <w:caps/>
                <w:noProof/>
                <w:lang w:val="af-ZA"/>
              </w:rPr>
            </w:pPr>
            <w:r>
              <w:rPr>
                <w:b/>
                <w:bCs/>
                <w:caps/>
                <w:noProof/>
                <w:lang w:val="af-ZA"/>
              </w:rPr>
              <w:t>SERVICE PUBLIC FEDERAL FINANCES</w:t>
            </w:r>
          </w:p>
        </w:tc>
        <w:tc>
          <w:tcPr>
            <w:tcW w:w="4245" w:type="dxa"/>
          </w:tcPr>
          <w:p w:rsidR="00305C5B" w:rsidRDefault="00305C5B">
            <w:pPr>
              <w:spacing w:before="120" w:after="120"/>
              <w:jc w:val="center"/>
              <w:rPr>
                <w:b/>
                <w:bCs/>
                <w:caps/>
                <w:noProof/>
                <w:lang w:val="af-ZA"/>
              </w:rPr>
            </w:pPr>
            <w:r>
              <w:rPr>
                <w:b/>
                <w:bCs/>
                <w:caps/>
                <w:noProof/>
                <w:lang w:val="af-ZA"/>
              </w:rPr>
              <w:t>FEDERALE OVERHEIDSDIENST FINANCIËN</w:t>
            </w:r>
          </w:p>
          <w:p w:rsidR="00305C5B" w:rsidRDefault="00305C5B">
            <w:pPr>
              <w:spacing w:before="120" w:after="120"/>
              <w:jc w:val="center"/>
              <w:rPr>
                <w:b/>
                <w:bCs/>
                <w:caps/>
                <w:noProof/>
                <w:lang w:val="af-ZA"/>
              </w:rPr>
            </w:pPr>
          </w:p>
        </w:tc>
      </w:tr>
      <w:tr w:rsidR="00305C5B" w:rsidRPr="00305C5B" w:rsidTr="00305C5B">
        <w:tc>
          <w:tcPr>
            <w:tcW w:w="4537" w:type="dxa"/>
          </w:tcPr>
          <w:p w:rsidR="00305C5B" w:rsidRDefault="00305C5B">
            <w:pPr>
              <w:spacing w:before="120" w:after="120"/>
              <w:jc w:val="center"/>
              <w:rPr>
                <w:b/>
                <w:bCs/>
                <w:caps/>
                <w:noProof/>
                <w:lang w:val="af-ZA"/>
              </w:rPr>
            </w:pPr>
            <w:bookmarkStart w:id="0" w:name="OLE_LINK5"/>
            <w:bookmarkStart w:id="1" w:name="OLE_LINK6"/>
          </w:p>
          <w:p w:rsidR="00305C5B" w:rsidRDefault="00305C5B">
            <w:pPr>
              <w:spacing w:before="120" w:after="120"/>
              <w:jc w:val="center"/>
              <w:rPr>
                <w:b/>
                <w:bCs/>
                <w:caps/>
                <w:noProof/>
                <w:lang w:val="af-ZA"/>
              </w:rPr>
            </w:pPr>
            <w:r>
              <w:rPr>
                <w:b/>
                <w:bCs/>
                <w:caps/>
                <w:noProof/>
                <w:lang w:val="af-ZA"/>
              </w:rPr>
              <w:t xml:space="preserve">Koninklijk besluit tot wijziging van de koninklijke besluiten op de jaarrekening en de geconsolideerde jaarrekening van de kredietinstellingen, de beleggingsondernemingen en de beheervennootschappen vAN instellingen voor collectieve belegging </w:t>
            </w:r>
            <w:bookmarkEnd w:id="0"/>
            <w:bookmarkEnd w:id="1"/>
          </w:p>
        </w:tc>
        <w:tc>
          <w:tcPr>
            <w:tcW w:w="4245" w:type="dxa"/>
          </w:tcPr>
          <w:p w:rsidR="00305C5B" w:rsidRDefault="00305C5B">
            <w:pPr>
              <w:spacing w:before="120" w:after="120"/>
              <w:jc w:val="center"/>
              <w:rPr>
                <w:b/>
                <w:bCs/>
                <w:caps/>
                <w:noProof/>
                <w:lang w:val="af-ZA"/>
              </w:rPr>
            </w:pPr>
          </w:p>
          <w:p w:rsidR="00305C5B" w:rsidRDefault="00305C5B">
            <w:pPr>
              <w:spacing w:before="120" w:after="120"/>
              <w:jc w:val="center"/>
              <w:rPr>
                <w:b/>
                <w:bCs/>
                <w:caps/>
                <w:noProof/>
                <w:lang w:val="af-ZA"/>
              </w:rPr>
            </w:pPr>
            <w:r>
              <w:rPr>
                <w:b/>
                <w:bCs/>
                <w:caps/>
                <w:noProof/>
                <w:lang w:val="af-ZA"/>
              </w:rPr>
              <w:t xml:space="preserve">ARRÊTÉ ROYAL portant modification des  arrêtes royaux relatifs aux comptes annuels et aux comptes consolidés des etablissements de credit, des entreprises d'investissement et des sociétés de gestion d'organismes de placement collectif </w:t>
            </w:r>
          </w:p>
        </w:tc>
      </w:tr>
      <w:tr w:rsidR="00305C5B" w:rsidTr="00305C5B">
        <w:tc>
          <w:tcPr>
            <w:tcW w:w="4537" w:type="dxa"/>
            <w:hideMark/>
          </w:tcPr>
          <w:p w:rsidR="00305C5B" w:rsidRDefault="00305C5B">
            <w:pPr>
              <w:spacing w:before="120" w:after="120"/>
              <w:jc w:val="center"/>
              <w:rPr>
                <w:b/>
                <w:bCs/>
                <w:smallCaps/>
                <w:noProof/>
                <w:lang w:val="af-ZA"/>
              </w:rPr>
            </w:pPr>
            <w:r>
              <w:rPr>
                <w:b/>
                <w:bCs/>
                <w:smallCaps/>
                <w:noProof/>
                <w:lang w:val="af-ZA"/>
              </w:rPr>
              <w:t>Verslag aan de Koning</w:t>
            </w:r>
          </w:p>
        </w:tc>
        <w:tc>
          <w:tcPr>
            <w:tcW w:w="4245" w:type="dxa"/>
            <w:hideMark/>
          </w:tcPr>
          <w:p w:rsidR="00305C5B" w:rsidRDefault="00305C5B">
            <w:pPr>
              <w:spacing w:before="120" w:after="120"/>
              <w:jc w:val="center"/>
              <w:rPr>
                <w:rFonts w:ascii="Times New Roman Bold" w:hAnsi="Times New Roman Bold"/>
                <w:b/>
                <w:bCs/>
                <w:smallCaps/>
                <w:noProof/>
                <w:lang w:val="af-ZA"/>
              </w:rPr>
            </w:pPr>
            <w:r>
              <w:rPr>
                <w:rFonts w:ascii="Times New Roman Bold" w:hAnsi="Times New Roman Bold"/>
                <w:b/>
                <w:bCs/>
                <w:smallCaps/>
                <w:noProof/>
                <w:lang w:val="af-ZA"/>
              </w:rPr>
              <w:t>Rapport au Roi</w:t>
            </w:r>
          </w:p>
        </w:tc>
      </w:tr>
      <w:tr w:rsidR="00305C5B" w:rsidTr="00305C5B">
        <w:tc>
          <w:tcPr>
            <w:tcW w:w="4537" w:type="dxa"/>
            <w:hideMark/>
          </w:tcPr>
          <w:p w:rsidR="00305C5B" w:rsidRDefault="00305C5B">
            <w:pPr>
              <w:spacing w:before="120" w:after="120"/>
              <w:jc w:val="both"/>
              <w:rPr>
                <w:noProof/>
                <w:lang w:val="af-ZA"/>
              </w:rPr>
            </w:pPr>
            <w:r>
              <w:rPr>
                <w:noProof/>
                <w:lang w:val="af-ZA"/>
              </w:rPr>
              <w:t>Sire,</w:t>
            </w:r>
          </w:p>
        </w:tc>
        <w:tc>
          <w:tcPr>
            <w:tcW w:w="4245" w:type="dxa"/>
            <w:hideMark/>
          </w:tcPr>
          <w:p w:rsidR="00305C5B" w:rsidRDefault="00305C5B">
            <w:pPr>
              <w:spacing w:before="120" w:after="120"/>
              <w:rPr>
                <w:bCs/>
                <w:noProof/>
                <w:lang w:val="af-ZA"/>
              </w:rPr>
            </w:pPr>
            <w:r>
              <w:rPr>
                <w:bCs/>
                <w:noProof/>
                <w:lang w:val="af-ZA"/>
              </w:rPr>
              <w:t>Sire,</w:t>
            </w:r>
          </w:p>
        </w:tc>
      </w:tr>
      <w:tr w:rsidR="00305C5B" w:rsidRPr="00305C5B" w:rsidTr="00305C5B">
        <w:tc>
          <w:tcPr>
            <w:tcW w:w="4537" w:type="dxa"/>
            <w:hideMark/>
          </w:tcPr>
          <w:p w:rsidR="00305C5B" w:rsidRDefault="00305C5B">
            <w:pPr>
              <w:spacing w:before="120" w:after="120"/>
              <w:jc w:val="both"/>
              <w:rPr>
                <w:noProof/>
                <w:lang w:val="af-ZA"/>
              </w:rPr>
            </w:pPr>
            <w:r>
              <w:rPr>
                <w:noProof/>
                <w:lang w:val="nl-BE"/>
              </w:rPr>
              <w:t xml:space="preserve">Het koninklijk besluit dat ik de eer heb U </w:t>
            </w:r>
            <w:r>
              <w:rPr>
                <w:noProof/>
                <w:lang w:val="af-ZA"/>
              </w:rPr>
              <w:t xml:space="preserve"> ter ondertekening voor te leggen, strekt ertoe artikel 89 van Richtlijn 2013/36/EU van het Europees Parlement en de Raad van 26 juni 2013 betreffende toegang tot het bedrijf van kredietinstellingen en het prudentieel toezicht op kredietinstellingen en beleggingsondernemingen, tot wijziging van Richtlijn 2002/87/EG en tot intrekking van de Richtlijnen 2006/48/EG en 2006/49/EG, om te zetten in Belgisch nationaal recht.</w:t>
            </w:r>
          </w:p>
        </w:tc>
        <w:tc>
          <w:tcPr>
            <w:tcW w:w="4245" w:type="dxa"/>
            <w:hideMark/>
          </w:tcPr>
          <w:p w:rsidR="00305C5B" w:rsidRDefault="00305C5B">
            <w:pPr>
              <w:spacing w:before="120" w:after="120"/>
              <w:jc w:val="both"/>
              <w:rPr>
                <w:bCs/>
                <w:noProof/>
                <w:lang w:val="af-ZA"/>
              </w:rPr>
            </w:pPr>
            <w:r>
              <w:rPr>
                <w:bCs/>
                <w:noProof/>
                <w:lang w:val="af-ZA"/>
              </w:rPr>
              <w:t>L'arrêté royal que j'ai l'honneur de soumettre à Votre signature a pour objet de transposer en droit national belge l’article 89 de la directive 2013/36/UE du Parlement européen et du Conseil du 26 juin 2013</w:t>
            </w:r>
            <w:r>
              <w:rPr>
                <w:noProof/>
                <w:lang w:val="af-ZA"/>
              </w:rPr>
              <w:t xml:space="preserve"> concernant l’accès à l’activité des établissements de crédit et la surveillance prudentielle des établissements de crédit et des entreprises d’investissement, modifiant la directive 2002/87/CE et abrogeant les directives 2006/48/CE et 2006/49/CE</w:t>
            </w:r>
            <w:r>
              <w:rPr>
                <w:bCs/>
                <w:noProof/>
                <w:lang w:val="af-ZA"/>
              </w:rPr>
              <w:t xml:space="preserve">. </w:t>
            </w:r>
          </w:p>
        </w:tc>
      </w:tr>
      <w:tr w:rsidR="00305C5B" w:rsidRPr="00305C5B" w:rsidTr="00305C5B">
        <w:tc>
          <w:tcPr>
            <w:tcW w:w="4537" w:type="dxa"/>
            <w:hideMark/>
          </w:tcPr>
          <w:p w:rsidR="00305C5B" w:rsidRDefault="00305C5B">
            <w:pPr>
              <w:spacing w:before="120" w:after="120"/>
              <w:jc w:val="both"/>
              <w:rPr>
                <w:noProof/>
                <w:lang w:val="nl-BE"/>
              </w:rPr>
            </w:pPr>
            <w:r>
              <w:rPr>
                <w:lang w:val="nl-BE"/>
              </w:rPr>
              <w:t>Deze Europese beschikking beoogt de transparantie te versterken van de activiteiten van de instellingen in de verschillende landen waar ze een vestiging hebben, door hen te verplichten diverse informatie mee te delen, uitgesplitst per land.</w:t>
            </w:r>
          </w:p>
        </w:tc>
        <w:tc>
          <w:tcPr>
            <w:tcW w:w="4245" w:type="dxa"/>
            <w:hideMark/>
          </w:tcPr>
          <w:p w:rsidR="00305C5B" w:rsidRDefault="00305C5B">
            <w:pPr>
              <w:spacing w:before="120" w:after="120"/>
              <w:jc w:val="both"/>
              <w:rPr>
                <w:bCs/>
                <w:noProof/>
                <w:lang w:val="af-ZA"/>
              </w:rPr>
            </w:pPr>
            <w:r>
              <w:rPr>
                <w:bCs/>
                <w:noProof/>
                <w:lang w:val="af-ZA"/>
              </w:rPr>
              <w:t>Cette disposition européenne vise à renforcer la transparence des activités des établissements dans les divers pays dans lesquels ils sont implémentés en leur imposant de communiquer diverses informations pays par pays.</w:t>
            </w:r>
          </w:p>
        </w:tc>
      </w:tr>
      <w:tr w:rsidR="00305C5B" w:rsidRPr="00305C5B" w:rsidTr="00305C5B">
        <w:trPr>
          <w:trHeight w:val="586"/>
        </w:trPr>
        <w:tc>
          <w:tcPr>
            <w:tcW w:w="4537" w:type="dxa"/>
            <w:hideMark/>
          </w:tcPr>
          <w:p w:rsidR="00305C5B" w:rsidRDefault="00305C5B">
            <w:pPr>
              <w:jc w:val="both"/>
              <w:rPr>
                <w:noProof/>
                <w:lang w:val="af-ZA"/>
              </w:rPr>
            </w:pPr>
            <w:r>
              <w:rPr>
                <w:noProof/>
                <w:lang w:val="af-ZA"/>
              </w:rPr>
              <w:t xml:space="preserve">De richtlijn bepaalt (artikel 89, paragraaf 4) dat de bedoelde informatie moet worden gecontroleerd overeenkomstig Richtlijn 2006/43/EC (betreffende de wettelijke </w:t>
            </w:r>
            <w:r>
              <w:rPr>
                <w:noProof/>
                <w:lang w:val="af-ZA"/>
              </w:rPr>
              <w:lastRenderedPageBreak/>
              <w:t>controles van jaarrekeningen en geconsolideerde jaarrekeningen). De richtlijn bepaalt tevens dat de informatie, indien mogelijk, moet worden bekendgemaakt als toelichting bij de jaarrekening of, voor zover van toepassing, bij de geconsolideerde jaarrekening van de instelling.</w:t>
            </w:r>
          </w:p>
        </w:tc>
        <w:tc>
          <w:tcPr>
            <w:tcW w:w="4245" w:type="dxa"/>
            <w:hideMark/>
          </w:tcPr>
          <w:p w:rsidR="00305C5B" w:rsidRDefault="00305C5B">
            <w:pPr>
              <w:jc w:val="both"/>
              <w:rPr>
                <w:bCs/>
                <w:noProof/>
                <w:lang w:val="af-ZA"/>
              </w:rPr>
            </w:pPr>
            <w:r>
              <w:rPr>
                <w:bCs/>
                <w:noProof/>
                <w:lang w:val="af-ZA"/>
              </w:rPr>
              <w:lastRenderedPageBreak/>
              <w:t xml:space="preserve">La directive prévoit (article 89, paragraphe 4) que ces informations doivent faire l’objet d’un contrôle conformément à la directive 2006/43/CE </w:t>
            </w:r>
            <w:r>
              <w:rPr>
                <w:bCs/>
                <w:noProof/>
                <w:lang w:val="af-ZA"/>
              </w:rPr>
              <w:lastRenderedPageBreak/>
              <w:t xml:space="preserve">(relative au contrôle légal des comptes annuels et des comptes consolidés). Elle prescrit également que les informations sont publiées, lorsque cela est possible, en tant qu’annexe des comptes annuels ou, le cas échéant, des comptes annuels consolidés de l’établissement. </w:t>
            </w:r>
          </w:p>
        </w:tc>
      </w:tr>
      <w:tr w:rsidR="00305C5B" w:rsidRPr="00305C5B" w:rsidTr="00305C5B">
        <w:trPr>
          <w:trHeight w:val="586"/>
        </w:trPr>
        <w:tc>
          <w:tcPr>
            <w:tcW w:w="4537" w:type="dxa"/>
          </w:tcPr>
          <w:p w:rsidR="00305C5B" w:rsidRDefault="00305C5B">
            <w:pPr>
              <w:jc w:val="both"/>
              <w:rPr>
                <w:noProof/>
                <w:lang w:val="af-ZA"/>
              </w:rPr>
            </w:pPr>
            <w:r>
              <w:rPr>
                <w:noProof/>
                <w:lang w:val="af-ZA"/>
              </w:rPr>
              <w:lastRenderedPageBreak/>
              <w:t>Teneinde aan die bepaling te voldoen, wordt voorgesteld de boekhoudreglementering te wijzigen die van toepassing is op de kredietinstellingen en beleggingsondernemingen als bedoeld in voornoemd artikel 89 (te weten de beleggingsondernemingen die vallen onder artikel 4, lid 1, punt 2 van Verordening (EU) nr. 575/2013 van het Europees Parlement en de Raad van 26 juni 2013 betreffende prudentiële vereisten voor kredietinstellingen en beleggingsondernemingen en tot wijziging van Verordening (EU) nr. 648/2012).</w:t>
            </w:r>
          </w:p>
          <w:p w:rsidR="00305C5B" w:rsidRDefault="00305C5B">
            <w:pPr>
              <w:jc w:val="both"/>
              <w:rPr>
                <w:noProof/>
                <w:lang w:val="af-ZA"/>
              </w:rPr>
            </w:pPr>
          </w:p>
        </w:tc>
        <w:tc>
          <w:tcPr>
            <w:tcW w:w="4245" w:type="dxa"/>
          </w:tcPr>
          <w:p w:rsidR="00305C5B" w:rsidRDefault="00305C5B">
            <w:pPr>
              <w:jc w:val="both"/>
              <w:rPr>
                <w:bCs/>
                <w:noProof/>
                <w:lang w:val="af-ZA"/>
              </w:rPr>
            </w:pPr>
            <w:r>
              <w:rPr>
                <w:bCs/>
                <w:noProof/>
                <w:lang w:val="af-ZA"/>
              </w:rPr>
              <w:t xml:space="preserve">Afin de se conformer à cette disposition, il est proposé de modifier les règlementations comptables applicables aux établissements de crédit et aux entreprises d’investissement visées par l’article 89 précité (à savoir les entreprises d’investissement couvertes par l’article </w:t>
            </w:r>
            <w:r>
              <w:rPr>
                <w:bCs/>
                <w:noProof/>
                <w:lang w:val="fr-FR"/>
              </w:rPr>
              <w:t>4, §1</w:t>
            </w:r>
            <w:r>
              <w:rPr>
                <w:bCs/>
                <w:noProof/>
                <w:vertAlign w:val="superscript"/>
                <w:lang w:val="fr-FR"/>
              </w:rPr>
              <w:t>er</w:t>
            </w:r>
            <w:r>
              <w:rPr>
                <w:bCs/>
                <w:noProof/>
                <w:lang w:val="fr-FR"/>
              </w:rPr>
              <w:t>, 2 du Règlement (UE) n° 575/2013 du Parlement européen et du Conseil du 26 juin 2013 concernant les exigences prudentielles applicables aux établissements de crédit et aux entreprises d’investissement et modifiant le règlement (UE) n° 648/2012).</w:t>
            </w:r>
          </w:p>
          <w:p w:rsidR="00305C5B" w:rsidRDefault="00305C5B">
            <w:pPr>
              <w:jc w:val="both"/>
              <w:rPr>
                <w:bCs/>
                <w:noProof/>
                <w:lang w:val="af-ZA"/>
              </w:rPr>
            </w:pPr>
          </w:p>
        </w:tc>
      </w:tr>
      <w:tr w:rsidR="00305C5B" w:rsidRPr="00305C5B" w:rsidTr="00305C5B">
        <w:trPr>
          <w:trHeight w:val="586"/>
        </w:trPr>
        <w:tc>
          <w:tcPr>
            <w:tcW w:w="4537" w:type="dxa"/>
          </w:tcPr>
          <w:p w:rsidR="00305C5B" w:rsidRDefault="00305C5B">
            <w:pPr>
              <w:jc w:val="both"/>
              <w:rPr>
                <w:noProof/>
                <w:lang w:val="af-ZA"/>
              </w:rPr>
            </w:pPr>
            <w:r>
              <w:rPr>
                <w:noProof/>
                <w:lang w:val="af-ZA"/>
              </w:rPr>
              <w:t>Zo is bepaald dat de vereiste informatie moet worden bekendgemaakt aan de hand van de geconsolideerde jaarrekening. Op die manier worden de activiteiten in elk land, die rechtstreeks of onrechtstreeks worden uitgeoefend via  dochterondernemingen, gedekt  voor zover ze onder de geconsolideerde jaarrekening vallen, en dit ongeacht de in de voormelde landen uitgeoefende bedrijfstak. Deze benadering beantwoordt aan de aanbevelingen van de Europese Bankautoriteit (EBA, Single Rulebook Q&amp;A, Question ID nr. 2014_ 1248).</w:t>
            </w:r>
          </w:p>
          <w:p w:rsidR="00305C5B" w:rsidRDefault="00305C5B">
            <w:pPr>
              <w:jc w:val="both"/>
              <w:rPr>
                <w:noProof/>
                <w:lang w:val="af-ZA"/>
              </w:rPr>
            </w:pPr>
          </w:p>
        </w:tc>
        <w:tc>
          <w:tcPr>
            <w:tcW w:w="4245" w:type="dxa"/>
          </w:tcPr>
          <w:p w:rsidR="00305C5B" w:rsidRDefault="00305C5B">
            <w:pPr>
              <w:jc w:val="both"/>
              <w:rPr>
                <w:bCs/>
                <w:noProof/>
                <w:lang w:val="af-ZA"/>
              </w:rPr>
            </w:pPr>
            <w:r>
              <w:rPr>
                <w:bCs/>
                <w:noProof/>
                <w:lang w:val="af-ZA"/>
              </w:rPr>
              <w:t>Il est ainsi prévu que les informations requises devront être rendues publiques au travers des comptes consolidés. De cette manière, les activités dans chaque pays, exercées directement ou indirectement par le biais de filiales, seront couvertes dès lors qu’elles rentrent dans le périmètre des comptes consolidés, et ce quel que soit le secteur d’activité exercé dans lesdits pays. Cette approche suit les recommandations de l’Autorité Bancaire Européenne (EBA, Single Rulebook Q&amp;A, Question ID n° 2014_1248)</w:t>
            </w:r>
          </w:p>
          <w:p w:rsidR="00305C5B" w:rsidRDefault="00305C5B">
            <w:pPr>
              <w:jc w:val="both"/>
              <w:rPr>
                <w:bCs/>
                <w:noProof/>
                <w:lang w:val="af-ZA"/>
              </w:rPr>
            </w:pPr>
          </w:p>
        </w:tc>
      </w:tr>
      <w:tr w:rsidR="00305C5B" w:rsidRPr="00305C5B" w:rsidTr="00305C5B">
        <w:trPr>
          <w:trHeight w:val="586"/>
        </w:trPr>
        <w:tc>
          <w:tcPr>
            <w:tcW w:w="4537" w:type="dxa"/>
          </w:tcPr>
          <w:p w:rsidR="00305C5B" w:rsidRDefault="00305C5B">
            <w:pPr>
              <w:jc w:val="both"/>
              <w:rPr>
                <w:noProof/>
                <w:lang w:val="af-ZA"/>
              </w:rPr>
            </w:pPr>
            <w:r>
              <w:rPr>
                <w:noProof/>
                <w:lang w:val="af-ZA"/>
              </w:rPr>
              <w:t>Aangezien niet alle instellingen een geconsolideerde jaarrekening opstellen, is het onontbeerlijk dat diezelfde verplichting tot publicatie van informatie als toelichting bij de statutaire jaarrekeningen wordt opgelegd.  De instellingen die een geconsolideerde jaarrekening opstellen, zijn vrijgesteld van de verplichting om de informatie als toelichting bij hun statutaire jaarrekeningen te publiceren.</w:t>
            </w:r>
          </w:p>
          <w:p w:rsidR="00305C5B" w:rsidRDefault="00305C5B">
            <w:pPr>
              <w:jc w:val="both"/>
              <w:rPr>
                <w:noProof/>
                <w:lang w:val="af-ZA"/>
              </w:rPr>
            </w:pPr>
          </w:p>
        </w:tc>
        <w:tc>
          <w:tcPr>
            <w:tcW w:w="4245" w:type="dxa"/>
          </w:tcPr>
          <w:p w:rsidR="00305C5B" w:rsidRDefault="00305C5B">
            <w:pPr>
              <w:jc w:val="both"/>
              <w:rPr>
                <w:bCs/>
                <w:noProof/>
                <w:lang w:val="af-ZA"/>
              </w:rPr>
            </w:pPr>
            <w:r>
              <w:rPr>
                <w:bCs/>
                <w:noProof/>
                <w:lang w:val="af-ZA"/>
              </w:rPr>
              <w:t>Tous les établissements n’établissant pas des comptes consolidés, il est nécessaire de prévoir la même obligation de publication d’information en annexe des comptes annuels statutaires. Les établissements qui établissent des comptes consolidés sont dispensés de publier les informations en annexe de leur comptes statutaires.</w:t>
            </w:r>
          </w:p>
          <w:p w:rsidR="00305C5B" w:rsidRDefault="00305C5B">
            <w:pPr>
              <w:jc w:val="both"/>
              <w:rPr>
                <w:bCs/>
                <w:noProof/>
                <w:lang w:val="af-ZA"/>
              </w:rPr>
            </w:pPr>
          </w:p>
        </w:tc>
      </w:tr>
      <w:tr w:rsidR="00305C5B" w:rsidRPr="00305C5B" w:rsidTr="00305C5B">
        <w:trPr>
          <w:trHeight w:val="586"/>
        </w:trPr>
        <w:tc>
          <w:tcPr>
            <w:tcW w:w="4537" w:type="dxa"/>
            <w:hideMark/>
          </w:tcPr>
          <w:p w:rsidR="00305C5B" w:rsidRDefault="00305C5B">
            <w:pPr>
              <w:jc w:val="both"/>
              <w:rPr>
                <w:noProof/>
                <w:lang w:val="af-ZA"/>
              </w:rPr>
            </w:pPr>
            <w:r>
              <w:rPr>
                <w:noProof/>
                <w:lang w:val="af-ZA"/>
              </w:rPr>
              <w:lastRenderedPageBreak/>
              <w:t>De jaarrekening en de geconsolideerde jaarrekening maken het voorwerp uit van een wettelijke controle overeenkomstig Richtlijn 2006/43/EC.</w:t>
            </w:r>
          </w:p>
        </w:tc>
        <w:tc>
          <w:tcPr>
            <w:tcW w:w="4245" w:type="dxa"/>
          </w:tcPr>
          <w:p w:rsidR="00305C5B" w:rsidRDefault="00305C5B">
            <w:pPr>
              <w:jc w:val="both"/>
              <w:rPr>
                <w:bCs/>
                <w:noProof/>
                <w:lang w:val="af-ZA"/>
              </w:rPr>
            </w:pPr>
            <w:r>
              <w:rPr>
                <w:bCs/>
                <w:noProof/>
                <w:lang w:val="af-ZA"/>
              </w:rPr>
              <w:t xml:space="preserve">Les comptes annuels et les comptes consolidés font l’objet d’un contrôle légal conformément à la directive 2006/43/CE. </w:t>
            </w:r>
          </w:p>
          <w:p w:rsidR="00305C5B" w:rsidRDefault="00305C5B">
            <w:pPr>
              <w:jc w:val="both"/>
              <w:rPr>
                <w:bCs/>
                <w:noProof/>
                <w:lang w:val="af-ZA"/>
              </w:rPr>
            </w:pPr>
          </w:p>
        </w:tc>
      </w:tr>
      <w:tr w:rsidR="00305C5B" w:rsidRPr="00305C5B" w:rsidTr="00305C5B">
        <w:trPr>
          <w:trHeight w:val="586"/>
        </w:trPr>
        <w:tc>
          <w:tcPr>
            <w:tcW w:w="4537" w:type="dxa"/>
          </w:tcPr>
          <w:p w:rsidR="00305C5B" w:rsidRDefault="00305C5B">
            <w:pPr>
              <w:jc w:val="both"/>
              <w:rPr>
                <w:noProof/>
                <w:lang w:val="af-ZA"/>
              </w:rPr>
            </w:pPr>
            <w:r>
              <w:rPr>
                <w:noProof/>
                <w:lang w:val="af-ZA"/>
              </w:rPr>
              <w:t>Overeenkomstig het door de Europese Bankautoriteit gepropageerde principe (EBA, Single Rulebook Q&amp;A, Question ID nr. 2014_1249), zou de vastlegging van de te publiceren gegevens in overeenstemming moeten zijn met de gecontroleerde financiële staten die door de instelling worden gepubliceerd.</w:t>
            </w:r>
          </w:p>
          <w:p w:rsidR="00305C5B" w:rsidRDefault="00305C5B">
            <w:pPr>
              <w:jc w:val="both"/>
              <w:rPr>
                <w:noProof/>
                <w:lang w:val="af-ZA"/>
              </w:rPr>
            </w:pPr>
          </w:p>
        </w:tc>
        <w:tc>
          <w:tcPr>
            <w:tcW w:w="4245" w:type="dxa"/>
          </w:tcPr>
          <w:p w:rsidR="00305C5B" w:rsidRDefault="00305C5B">
            <w:pPr>
              <w:jc w:val="both"/>
              <w:rPr>
                <w:bCs/>
                <w:noProof/>
                <w:lang w:val="af-ZA"/>
              </w:rPr>
            </w:pPr>
            <w:r>
              <w:rPr>
                <w:bCs/>
                <w:noProof/>
                <w:lang w:val="af-ZA"/>
              </w:rPr>
              <w:t>Suivant le principe préconisé par l’Autorité Bancaire Européenne (ABE - EBA, Single Rulebook Q&amp;A, Question ID n° 2014_1249), la définition des éléments d’information à publier devrait être cohérente avec les états financiers audités publiés par l’établissement.</w:t>
            </w:r>
          </w:p>
          <w:p w:rsidR="00305C5B" w:rsidRDefault="00305C5B">
            <w:pPr>
              <w:jc w:val="both"/>
              <w:rPr>
                <w:bCs/>
                <w:noProof/>
                <w:lang w:val="af-ZA"/>
              </w:rPr>
            </w:pPr>
          </w:p>
          <w:p w:rsidR="00305C5B" w:rsidRDefault="00305C5B">
            <w:pPr>
              <w:jc w:val="both"/>
              <w:rPr>
                <w:bCs/>
                <w:noProof/>
                <w:lang w:val="af-ZA"/>
              </w:rPr>
            </w:pPr>
          </w:p>
        </w:tc>
      </w:tr>
      <w:tr w:rsidR="00305C5B" w:rsidRPr="00305C5B" w:rsidTr="00305C5B">
        <w:trPr>
          <w:trHeight w:val="586"/>
        </w:trPr>
        <w:tc>
          <w:tcPr>
            <w:tcW w:w="4537" w:type="dxa"/>
          </w:tcPr>
          <w:p w:rsidR="00305C5B" w:rsidRDefault="00305C5B">
            <w:pPr>
              <w:jc w:val="both"/>
              <w:rPr>
                <w:noProof/>
                <w:lang w:val="af-ZA"/>
              </w:rPr>
            </w:pPr>
            <w:r>
              <w:rPr>
                <w:noProof/>
                <w:lang w:val="af-ZA"/>
              </w:rPr>
              <w:t xml:space="preserve">De gehanteerde definities zullen derhalve worden aangepast, naargelang de informatie wordt opgenomen als toelichting bij de jaarrekening (Belgische boekhoudnormen) of als bijlage bij de geconsolideerde jaarrekening (internationale boekhoudnormen – IFRS). </w:t>
            </w:r>
          </w:p>
          <w:p w:rsidR="00305C5B" w:rsidRDefault="00305C5B">
            <w:pPr>
              <w:jc w:val="both"/>
              <w:rPr>
                <w:noProof/>
                <w:lang w:val="af-ZA"/>
              </w:rPr>
            </w:pPr>
          </w:p>
        </w:tc>
        <w:tc>
          <w:tcPr>
            <w:tcW w:w="4245" w:type="dxa"/>
            <w:hideMark/>
          </w:tcPr>
          <w:p w:rsidR="00305C5B" w:rsidRDefault="00305C5B">
            <w:pPr>
              <w:spacing w:after="120"/>
              <w:jc w:val="both"/>
              <w:rPr>
                <w:bCs/>
                <w:noProof/>
                <w:lang w:val="af-ZA"/>
              </w:rPr>
            </w:pPr>
            <w:r>
              <w:rPr>
                <w:bCs/>
                <w:noProof/>
                <w:lang w:val="af-ZA"/>
              </w:rPr>
              <w:t>Les définitions retenues seront donc adaptées, selon que l’information sera en annexe des comptes annuels (normes comptables belges) ou en annexe des comptes consolidés (normes comptables internationales - IFRS).</w:t>
            </w:r>
          </w:p>
        </w:tc>
      </w:tr>
      <w:tr w:rsidR="00305C5B" w:rsidRPr="00305C5B" w:rsidTr="00305C5B">
        <w:trPr>
          <w:trHeight w:val="586"/>
        </w:trPr>
        <w:tc>
          <w:tcPr>
            <w:tcW w:w="4537" w:type="dxa"/>
          </w:tcPr>
          <w:p w:rsidR="00305C5B" w:rsidRDefault="00305C5B">
            <w:pPr>
              <w:jc w:val="both"/>
              <w:rPr>
                <w:noProof/>
                <w:lang w:val="af-ZA"/>
              </w:rPr>
            </w:pPr>
            <w:r>
              <w:rPr>
                <w:noProof/>
                <w:lang w:val="af-ZA"/>
              </w:rPr>
              <w:t>Op grond van het voornoemde artikel 89 dient deze informatie te worden bekendgemaakt vanaf 1 januari 2015. Overeenkomstig de principes die worden vooropgesteld door de EBA in haar Q&amp;A nr. 2014_1250, moet de publicatie plaatsvinden aan de hand van de gecontroleerde rekeningen gepubliceerd na 1 januari 2015. Om die reden wordt voorgesteld dat de door de richtlijn vereiste informatie ingevoegd wordt in de toelichting van de jaar- of geconsolideerde rekeningen die elk jaar worden gepubliceerd en dit vanaf 1 januari 2015. Voor een onderneming die haar rekeningen afsluit op 31 december zal de eerste publicatie van deze informatie gebeuren in de toelichting van haar rekeningen afgesloten op 31 december 2014 en gepubliceerd in 2015.</w:t>
            </w:r>
          </w:p>
          <w:p w:rsidR="00305C5B" w:rsidRDefault="00305C5B">
            <w:pPr>
              <w:jc w:val="both"/>
              <w:rPr>
                <w:noProof/>
                <w:lang w:val="af-ZA"/>
              </w:rPr>
            </w:pPr>
          </w:p>
        </w:tc>
        <w:tc>
          <w:tcPr>
            <w:tcW w:w="4245" w:type="dxa"/>
            <w:hideMark/>
          </w:tcPr>
          <w:p w:rsidR="00305C5B" w:rsidRDefault="00305C5B">
            <w:pPr>
              <w:spacing w:after="120"/>
              <w:jc w:val="both"/>
              <w:rPr>
                <w:bCs/>
                <w:noProof/>
                <w:lang w:val="af-ZA"/>
              </w:rPr>
            </w:pPr>
            <w:r>
              <w:rPr>
                <w:bCs/>
                <w:noProof/>
                <w:lang w:val="af-ZA"/>
              </w:rPr>
              <w:t>En vertu de l’article 89 précité, ces informations doivent être rendues publiques à partir du 1er janvier 2015. Suivant les principes énoncés par l’ABE dans son Q&amp;A n° 2014_1250, la publication devra être opérée au travers des comptes audités publiés dès après le 1er janvier 2015. Pour cette raison, il est proposé que l’information requise par la directive soit insérée en annexe des comptes annuels ou consolidés qui seront publiés chaque année à partir du 1er janvier 2015. Pour une entreprise clôturant ses comptes au 31 décembre, la première publication de ces informations sera donc en annexe de ses comptes clôturés au 31 décembre 2014 et publiés en 2015.</w:t>
            </w:r>
          </w:p>
        </w:tc>
      </w:tr>
      <w:tr w:rsidR="00305C5B" w:rsidRPr="00305C5B" w:rsidTr="00305C5B">
        <w:trPr>
          <w:trHeight w:val="586"/>
        </w:trPr>
        <w:tc>
          <w:tcPr>
            <w:tcW w:w="4537" w:type="dxa"/>
            <w:hideMark/>
          </w:tcPr>
          <w:p w:rsidR="00305C5B" w:rsidRDefault="00305C5B">
            <w:pPr>
              <w:jc w:val="both"/>
              <w:rPr>
                <w:noProof/>
                <w:lang w:val="af-ZA"/>
              </w:rPr>
            </w:pPr>
            <w:bookmarkStart w:id="2" w:name="_GoBack"/>
            <w:bookmarkEnd w:id="2"/>
            <w:r>
              <w:rPr>
                <w:noProof/>
                <w:lang w:val="af-ZA"/>
              </w:rPr>
              <w:t xml:space="preserve">Artikel 89, paragraaf 2, bepaalt dat een gedeelte van die informatie reeds voor het eerst moet worden bekendgemaakt op 1 juli 2014. Dit aspect valt, voor de kredietinstellingen, reeds onder artikel 420 van de wet van 25 april 2014 op het statuut van en het toezicht op de kredietinstellingen. Die beschikking had uitsluitend betrekking op de publicatie van gegevens in 2014, in </w:t>
            </w:r>
            <w:r>
              <w:rPr>
                <w:noProof/>
                <w:lang w:val="af-ZA"/>
              </w:rPr>
              <w:lastRenderedPageBreak/>
              <w:t>afwachting van de aanpassing van de toelichting bij de jaarrekening die uitgerekend het voorwerp uitmaakt van het voorliggende ontwerpbesluit.</w:t>
            </w:r>
          </w:p>
        </w:tc>
        <w:tc>
          <w:tcPr>
            <w:tcW w:w="4245" w:type="dxa"/>
            <w:hideMark/>
          </w:tcPr>
          <w:p w:rsidR="00305C5B" w:rsidRDefault="00305C5B">
            <w:pPr>
              <w:spacing w:after="120"/>
              <w:jc w:val="both"/>
              <w:rPr>
                <w:bCs/>
                <w:noProof/>
                <w:lang w:val="af-ZA"/>
              </w:rPr>
            </w:pPr>
            <w:r>
              <w:rPr>
                <w:bCs/>
                <w:noProof/>
                <w:lang w:val="af-ZA"/>
              </w:rPr>
              <w:lastRenderedPageBreak/>
              <w:t xml:space="preserve">L’article 89, paragraphe 2 prévoit que certaines de ces informations doivent déjà être rendues publiques pour la première fois le 1er juillet 2014. Cet aspect a, pour les établissements de crédit, été couvert par l’article 420 de la loi du 25 avril 2014  relative au statut et au contrôle des établissements de crédit. Cette disposition ne concernait que la </w:t>
            </w:r>
            <w:r>
              <w:rPr>
                <w:bCs/>
                <w:noProof/>
                <w:lang w:val="af-ZA"/>
              </w:rPr>
              <w:lastRenderedPageBreak/>
              <w:t>publication de données en 2014, dans l’attente de l’adaptation de l’annexe aux comptes annuels qui est précisément l’objet du présent projet d’arrêté.</w:t>
            </w:r>
          </w:p>
        </w:tc>
      </w:tr>
      <w:tr w:rsidR="00305C5B" w:rsidTr="00305C5B">
        <w:trPr>
          <w:trHeight w:val="586"/>
        </w:trPr>
        <w:tc>
          <w:tcPr>
            <w:tcW w:w="4537" w:type="dxa"/>
            <w:hideMark/>
          </w:tcPr>
          <w:p w:rsidR="00305C5B" w:rsidRDefault="00305C5B">
            <w:pPr>
              <w:spacing w:before="120" w:after="120"/>
              <w:jc w:val="center"/>
              <w:rPr>
                <w:rFonts w:ascii="Times New Roman Bold" w:hAnsi="Times New Roman Bold"/>
                <w:b/>
                <w:smallCaps/>
                <w:noProof/>
                <w:lang w:val="af-ZA"/>
              </w:rPr>
            </w:pPr>
            <w:r>
              <w:rPr>
                <w:rFonts w:ascii="Times New Roman Bold" w:hAnsi="Times New Roman Bold"/>
                <w:b/>
                <w:smallCaps/>
                <w:noProof/>
                <w:lang w:val="af-ZA"/>
              </w:rPr>
              <w:lastRenderedPageBreak/>
              <w:t>Commentaar bij de artikelen</w:t>
            </w:r>
          </w:p>
        </w:tc>
        <w:tc>
          <w:tcPr>
            <w:tcW w:w="4245" w:type="dxa"/>
            <w:hideMark/>
          </w:tcPr>
          <w:p w:rsidR="00305C5B" w:rsidRDefault="00305C5B">
            <w:pPr>
              <w:spacing w:before="120" w:after="120"/>
              <w:jc w:val="center"/>
              <w:rPr>
                <w:rFonts w:ascii="Times New Roman Bold" w:hAnsi="Times New Roman Bold"/>
                <w:b/>
                <w:smallCaps/>
                <w:noProof/>
                <w:lang w:val="af-ZA"/>
              </w:rPr>
            </w:pPr>
            <w:r>
              <w:rPr>
                <w:rFonts w:ascii="Times New Roman Bold" w:hAnsi="Times New Roman Bold"/>
                <w:b/>
                <w:smallCaps/>
                <w:noProof/>
                <w:lang w:val="af-ZA"/>
              </w:rPr>
              <w:t>Commentaire par article</w:t>
            </w:r>
          </w:p>
        </w:tc>
      </w:tr>
      <w:tr w:rsidR="00305C5B" w:rsidRPr="00305C5B" w:rsidTr="00305C5B">
        <w:tc>
          <w:tcPr>
            <w:tcW w:w="4537" w:type="dxa"/>
            <w:hideMark/>
          </w:tcPr>
          <w:p w:rsidR="00305C5B" w:rsidRDefault="00305C5B">
            <w:pPr>
              <w:spacing w:before="120" w:after="120"/>
              <w:jc w:val="both"/>
              <w:rPr>
                <w:bCs/>
                <w:noProof/>
                <w:lang w:val="af-ZA"/>
              </w:rPr>
            </w:pPr>
            <w:r>
              <w:rPr>
                <w:b/>
                <w:bCs/>
                <w:noProof/>
                <w:lang w:val="af-ZA"/>
              </w:rPr>
              <w:t xml:space="preserve">Artikel 1. </w:t>
            </w:r>
            <w:r>
              <w:rPr>
                <w:bCs/>
                <w:noProof/>
                <w:lang w:val="af-ZA"/>
              </w:rPr>
              <w:t xml:space="preserve">Dit artikel behoeft geen commentaar. </w:t>
            </w:r>
          </w:p>
        </w:tc>
        <w:tc>
          <w:tcPr>
            <w:tcW w:w="4245" w:type="dxa"/>
            <w:hideMark/>
          </w:tcPr>
          <w:p w:rsidR="00305C5B" w:rsidRDefault="00305C5B">
            <w:pPr>
              <w:spacing w:before="120" w:after="120"/>
              <w:jc w:val="both"/>
              <w:rPr>
                <w:noProof/>
                <w:lang w:val="af-ZA"/>
              </w:rPr>
            </w:pPr>
            <w:r>
              <w:rPr>
                <w:b/>
                <w:noProof/>
                <w:lang w:val="af-ZA"/>
              </w:rPr>
              <w:t>Article 1er.</w:t>
            </w:r>
            <w:r>
              <w:rPr>
                <w:noProof/>
                <w:lang w:val="af-ZA"/>
              </w:rPr>
              <w:t xml:space="preserve"> Cet article ne nécessite aucun commentaire. </w:t>
            </w:r>
          </w:p>
        </w:tc>
      </w:tr>
      <w:tr w:rsidR="00305C5B" w:rsidRPr="00305C5B" w:rsidTr="00305C5B">
        <w:tc>
          <w:tcPr>
            <w:tcW w:w="4537" w:type="dxa"/>
            <w:hideMark/>
          </w:tcPr>
          <w:p w:rsidR="00305C5B" w:rsidRDefault="00305C5B">
            <w:pPr>
              <w:spacing w:before="120" w:after="120"/>
              <w:jc w:val="both"/>
              <w:rPr>
                <w:bCs/>
                <w:noProof/>
                <w:lang w:val="af-ZA"/>
              </w:rPr>
            </w:pPr>
            <w:r>
              <w:rPr>
                <w:b/>
                <w:bCs/>
                <w:noProof/>
                <w:lang w:val="af-ZA"/>
              </w:rPr>
              <w:t>Art. 2.</w:t>
            </w:r>
            <w:r>
              <w:rPr>
                <w:bCs/>
                <w:noProof/>
                <w:lang w:val="af-ZA"/>
              </w:rPr>
              <w:t xml:space="preserve"> Artikel 2 van het onderhavige ontwerpbesluit zorgt voor de omzetting in de reglementering met betrekking tot de jaarrekening van de instellingen, van artikel 89 van Richtlijn 2013/36/EU van het Europees Parlement en de Raad van 26 juni 2013 betreffende toegang tot het bedrijf van kredietinstellingen en het prudentieel toezicht op kredietinstellingen en beleggingsondernemingen, tot wijziging van Richtlijn 2002/87/EG en tot intrekking van de Richtlijnen 2006/48/EG en 2006/49/EG.</w:t>
            </w:r>
          </w:p>
        </w:tc>
        <w:tc>
          <w:tcPr>
            <w:tcW w:w="4245" w:type="dxa"/>
            <w:hideMark/>
          </w:tcPr>
          <w:p w:rsidR="00305C5B" w:rsidRDefault="00305C5B">
            <w:pPr>
              <w:spacing w:before="120" w:after="120"/>
              <w:jc w:val="both"/>
              <w:rPr>
                <w:noProof/>
                <w:lang w:val="af-ZA"/>
              </w:rPr>
            </w:pPr>
            <w:r>
              <w:rPr>
                <w:b/>
                <w:noProof/>
                <w:lang w:val="af-ZA"/>
              </w:rPr>
              <w:t>Art. 2.</w:t>
            </w:r>
            <w:r>
              <w:rPr>
                <w:noProof/>
                <w:lang w:val="af-ZA"/>
              </w:rPr>
              <w:t xml:space="preserve"> L'article 2 du projet d'arrêté assure la transposition dans la réglementation relative aux comptes annuels des établissements, de </w:t>
            </w:r>
            <w:r>
              <w:rPr>
                <w:bCs/>
                <w:noProof/>
                <w:lang w:val="af-ZA"/>
              </w:rPr>
              <w:t>l’article 89 de la directive 2013/36/UE du Parlement européen et du Conseil du 26 juin 2013</w:t>
            </w:r>
            <w:r>
              <w:rPr>
                <w:noProof/>
                <w:lang w:val="af-ZA"/>
              </w:rPr>
              <w:t xml:space="preserve"> concernant l’accès à l’activité des établissements de crédit et la surveillance prudentielle des établissements de crédit et des entreprises d’investissement, modifiant la directive 2002/87/CE et abrogeant les directives 2006/48/CE et 2006/49/CE</w:t>
            </w:r>
            <w:r>
              <w:rPr>
                <w:bCs/>
                <w:noProof/>
                <w:lang w:val="af-ZA"/>
              </w:rPr>
              <w:t xml:space="preserve">. </w:t>
            </w:r>
          </w:p>
        </w:tc>
      </w:tr>
      <w:tr w:rsidR="00305C5B" w:rsidRPr="00305C5B" w:rsidTr="00305C5B">
        <w:tc>
          <w:tcPr>
            <w:tcW w:w="4537" w:type="dxa"/>
            <w:hideMark/>
          </w:tcPr>
          <w:p w:rsidR="00305C5B" w:rsidRDefault="00305C5B">
            <w:pPr>
              <w:spacing w:before="120" w:after="120"/>
              <w:jc w:val="both"/>
              <w:rPr>
                <w:noProof/>
                <w:lang w:val="af-ZA"/>
              </w:rPr>
            </w:pPr>
            <w:r>
              <w:rPr>
                <w:bCs/>
                <w:noProof/>
                <w:lang w:val="af-ZA"/>
              </w:rPr>
              <w:t>Hiertoe wordt voorgesteld een nieuwe staat nr. XXXI toe te voegen, als toelichting in te voegen bij de jaarrekening van de instellingen, en met betrekking tot de informatie per land als bedoeld in het voornoemde artikel 89.</w:t>
            </w:r>
          </w:p>
        </w:tc>
        <w:tc>
          <w:tcPr>
            <w:tcW w:w="4245" w:type="dxa"/>
            <w:hideMark/>
          </w:tcPr>
          <w:p w:rsidR="00305C5B" w:rsidRDefault="00305C5B">
            <w:pPr>
              <w:spacing w:before="120" w:after="120"/>
              <w:jc w:val="both"/>
              <w:rPr>
                <w:noProof/>
                <w:lang w:val="af-ZA"/>
              </w:rPr>
            </w:pPr>
            <w:r>
              <w:rPr>
                <w:bCs/>
                <w:noProof/>
                <w:lang w:val="af-ZA"/>
              </w:rPr>
              <w:t>A cette fin, il est proposé d’ajouter un nouvel état n° XXXI à insérer en annexe des comptes annuels des établissements, et portant sur les informations par pays visées à l’article 89 précité.</w:t>
            </w:r>
          </w:p>
        </w:tc>
      </w:tr>
      <w:tr w:rsidR="00305C5B" w:rsidRPr="00305C5B" w:rsidTr="00305C5B">
        <w:tc>
          <w:tcPr>
            <w:tcW w:w="4537" w:type="dxa"/>
            <w:hideMark/>
          </w:tcPr>
          <w:p w:rsidR="00305C5B" w:rsidRDefault="00305C5B">
            <w:pPr>
              <w:spacing w:before="120" w:after="120"/>
              <w:jc w:val="both"/>
              <w:rPr>
                <w:noProof/>
                <w:lang w:val="af-ZA"/>
              </w:rPr>
            </w:pPr>
            <w:r>
              <w:rPr>
                <w:noProof/>
                <w:lang w:val="af-ZA"/>
              </w:rPr>
              <w:t>Aangezien het voornoemde artikel 89 slechts van toepassing is op de kredietinstellingen en op bepaalde  beleggingsondernemingen, dient de nieuwe staat XXXI slechts door die instellingen te worden ingevuld.</w:t>
            </w:r>
          </w:p>
        </w:tc>
        <w:tc>
          <w:tcPr>
            <w:tcW w:w="4245" w:type="dxa"/>
            <w:hideMark/>
          </w:tcPr>
          <w:p w:rsidR="00305C5B" w:rsidRDefault="00305C5B">
            <w:pPr>
              <w:spacing w:before="120" w:after="120"/>
              <w:jc w:val="both"/>
              <w:rPr>
                <w:noProof/>
                <w:lang w:val="af-ZA"/>
              </w:rPr>
            </w:pPr>
            <w:r>
              <w:rPr>
                <w:noProof/>
                <w:lang w:val="af-ZA"/>
              </w:rPr>
              <w:t>L’article 89 précité ne s’appliquant qu’aux établissements de crédit et certaines entreprises d’investissement, le nouvel état XXXI ne doit être rempli que par ces établissements.</w:t>
            </w:r>
          </w:p>
        </w:tc>
      </w:tr>
      <w:tr w:rsidR="00305C5B" w:rsidRPr="00305C5B" w:rsidTr="00305C5B">
        <w:tc>
          <w:tcPr>
            <w:tcW w:w="4537" w:type="dxa"/>
            <w:hideMark/>
          </w:tcPr>
          <w:p w:rsidR="00305C5B" w:rsidRDefault="00305C5B">
            <w:pPr>
              <w:spacing w:before="120" w:after="120"/>
              <w:jc w:val="both"/>
              <w:rPr>
                <w:noProof/>
                <w:lang w:val="af-ZA"/>
              </w:rPr>
            </w:pPr>
            <w:r>
              <w:rPr>
                <w:b/>
                <w:noProof/>
                <w:lang w:val="af-ZA"/>
              </w:rPr>
              <w:t>Art. 3.</w:t>
            </w:r>
            <w:r>
              <w:rPr>
                <w:noProof/>
                <w:lang w:val="af-ZA"/>
              </w:rPr>
              <w:t xml:space="preserve"> Artikel 3 zorgt voor de omzetting van het voornoemde artikel 89 in de reglementering met betrekking tot de geconsolideerde jaarrekening van de instellingen. De door artikel 89 vereiste informatie zal worden gepubliceerd als toelichting bij de geconsolideerde jaarrekening, als aanvulling op de overige vermeldingen die door de internationale boekhoudnormen zijn voorgeschreven. </w:t>
            </w:r>
          </w:p>
        </w:tc>
        <w:tc>
          <w:tcPr>
            <w:tcW w:w="4245" w:type="dxa"/>
            <w:hideMark/>
          </w:tcPr>
          <w:p w:rsidR="00305C5B" w:rsidRDefault="00305C5B">
            <w:pPr>
              <w:spacing w:before="120" w:after="120"/>
              <w:jc w:val="both"/>
              <w:rPr>
                <w:b/>
                <w:noProof/>
                <w:lang w:val="af-ZA"/>
              </w:rPr>
            </w:pPr>
            <w:r>
              <w:rPr>
                <w:b/>
                <w:noProof/>
                <w:lang w:val="af-ZA"/>
              </w:rPr>
              <w:t>Art. 3.</w:t>
            </w:r>
            <w:r>
              <w:rPr>
                <w:noProof/>
                <w:lang w:val="af-ZA"/>
              </w:rPr>
              <w:t xml:space="preserve"> L’article 3 assure la transposition de l’article 89 précité dans la réglementation relative aux comptes consolidés des établissements. L’information requise par l’article 89 sera publiée en annexe des comptes consolidés, en complément des </w:t>
            </w:r>
            <w:r>
              <w:rPr>
                <w:lang w:val="fr-FR"/>
              </w:rPr>
              <w:t>mentions prescrites par ailleurs par les normes comptables internationales.</w:t>
            </w:r>
          </w:p>
        </w:tc>
      </w:tr>
    </w:tbl>
    <w:p w:rsidR="00305C5B" w:rsidRPr="00305C5B" w:rsidRDefault="00305C5B">
      <w:pPr>
        <w:rPr>
          <w:lang w:val="fr-FR"/>
        </w:rPr>
      </w:pPr>
    </w:p>
    <w:p w:rsidR="00305C5B" w:rsidRPr="00305C5B" w:rsidRDefault="00305C5B">
      <w:pPr>
        <w:rPr>
          <w:lang w:val="fr-FR"/>
        </w:rPr>
      </w:pPr>
    </w:p>
    <w:p w:rsidR="002A40FA" w:rsidRPr="00B569AF" w:rsidRDefault="002A40FA">
      <w:pPr>
        <w:rPr>
          <w:noProof/>
          <w:lang w:val="af-ZA"/>
        </w:rPr>
      </w:pPr>
    </w:p>
    <w:tbl>
      <w:tblPr>
        <w:tblW w:w="0" w:type="auto"/>
        <w:tblLayout w:type="fixed"/>
        <w:tblLook w:val="01E0"/>
      </w:tblPr>
      <w:tblGrid>
        <w:gridCol w:w="4503"/>
        <w:gridCol w:w="4245"/>
      </w:tblGrid>
      <w:tr w:rsidR="00067EFD" w:rsidRPr="009128C4" w:rsidTr="00697BEE">
        <w:tc>
          <w:tcPr>
            <w:tcW w:w="4503" w:type="dxa"/>
          </w:tcPr>
          <w:p w:rsidR="00067EFD" w:rsidRPr="00B569AF" w:rsidRDefault="00067EFD" w:rsidP="009C1916">
            <w:pPr>
              <w:spacing w:before="120" w:after="120"/>
              <w:jc w:val="center"/>
              <w:rPr>
                <w:b/>
                <w:bCs/>
                <w:caps/>
                <w:noProof/>
                <w:lang w:val="af-ZA"/>
              </w:rPr>
            </w:pPr>
            <w:r w:rsidRPr="00067EFD">
              <w:rPr>
                <w:b/>
                <w:bCs/>
                <w:caps/>
                <w:noProof/>
                <w:lang w:val="af-ZA"/>
              </w:rPr>
              <w:t>KONINKRIJK BELGIË</w:t>
            </w:r>
          </w:p>
        </w:tc>
        <w:tc>
          <w:tcPr>
            <w:tcW w:w="4245" w:type="dxa"/>
          </w:tcPr>
          <w:p w:rsidR="00067EFD" w:rsidRDefault="00067EFD">
            <w:pPr>
              <w:spacing w:before="120" w:after="120"/>
              <w:jc w:val="center"/>
              <w:rPr>
                <w:b/>
                <w:bCs/>
                <w:caps/>
                <w:noProof/>
                <w:lang w:val="af-ZA"/>
              </w:rPr>
            </w:pPr>
            <w:r w:rsidRPr="00067EFD">
              <w:rPr>
                <w:b/>
                <w:bCs/>
                <w:caps/>
                <w:noProof/>
                <w:lang w:val="af-ZA"/>
              </w:rPr>
              <w:t>ROYAUME DE BELGIQUE</w:t>
            </w:r>
          </w:p>
          <w:p w:rsidR="00067EFD" w:rsidRPr="00B569AF" w:rsidRDefault="00067EFD">
            <w:pPr>
              <w:spacing w:before="120" w:after="120"/>
              <w:jc w:val="center"/>
              <w:rPr>
                <w:b/>
                <w:bCs/>
                <w:caps/>
                <w:noProof/>
                <w:lang w:val="af-ZA"/>
              </w:rPr>
            </w:pPr>
          </w:p>
        </w:tc>
      </w:tr>
      <w:tr w:rsidR="00067EFD" w:rsidRPr="00067EFD" w:rsidTr="00697BEE">
        <w:tc>
          <w:tcPr>
            <w:tcW w:w="4503" w:type="dxa"/>
          </w:tcPr>
          <w:p w:rsidR="00067EFD" w:rsidRDefault="00067EFD" w:rsidP="009C1916">
            <w:pPr>
              <w:spacing w:before="120" w:after="120"/>
              <w:jc w:val="center"/>
              <w:rPr>
                <w:b/>
                <w:bCs/>
                <w:caps/>
                <w:noProof/>
                <w:lang w:val="af-ZA"/>
              </w:rPr>
            </w:pPr>
          </w:p>
          <w:p w:rsidR="00067EFD" w:rsidRPr="00B569AF" w:rsidRDefault="00067EFD" w:rsidP="009C1916">
            <w:pPr>
              <w:spacing w:before="120" w:after="120"/>
              <w:jc w:val="center"/>
              <w:rPr>
                <w:b/>
                <w:bCs/>
                <w:caps/>
                <w:noProof/>
                <w:lang w:val="af-ZA"/>
              </w:rPr>
            </w:pPr>
            <w:r w:rsidRPr="00067EFD">
              <w:rPr>
                <w:b/>
                <w:bCs/>
                <w:caps/>
                <w:noProof/>
                <w:lang w:val="af-ZA"/>
              </w:rPr>
              <w:t>SERVICE PUBLIC FEDERAL FINANCES</w:t>
            </w:r>
          </w:p>
        </w:tc>
        <w:tc>
          <w:tcPr>
            <w:tcW w:w="4245" w:type="dxa"/>
          </w:tcPr>
          <w:p w:rsidR="00067EFD" w:rsidRDefault="00067EFD">
            <w:pPr>
              <w:spacing w:before="120" w:after="120"/>
              <w:jc w:val="center"/>
              <w:rPr>
                <w:b/>
                <w:bCs/>
                <w:caps/>
                <w:noProof/>
                <w:lang w:val="af-ZA"/>
              </w:rPr>
            </w:pPr>
          </w:p>
          <w:p w:rsidR="00067EFD" w:rsidRDefault="00067EFD">
            <w:pPr>
              <w:spacing w:before="120" w:after="120"/>
              <w:jc w:val="center"/>
              <w:rPr>
                <w:b/>
                <w:bCs/>
                <w:caps/>
                <w:noProof/>
                <w:lang w:val="af-ZA"/>
              </w:rPr>
            </w:pPr>
            <w:r w:rsidRPr="00067EFD">
              <w:rPr>
                <w:b/>
                <w:bCs/>
                <w:caps/>
                <w:noProof/>
                <w:lang w:val="af-ZA"/>
              </w:rPr>
              <w:t>FEDERALE OVERHEIDSDIENST FINANCIËN</w:t>
            </w:r>
          </w:p>
          <w:p w:rsidR="00067EFD" w:rsidRPr="00B569AF" w:rsidRDefault="00067EFD">
            <w:pPr>
              <w:spacing w:before="120" w:after="120"/>
              <w:jc w:val="center"/>
              <w:rPr>
                <w:b/>
                <w:bCs/>
                <w:caps/>
                <w:noProof/>
                <w:lang w:val="af-ZA"/>
              </w:rPr>
            </w:pPr>
          </w:p>
        </w:tc>
      </w:tr>
      <w:tr w:rsidR="001D57C4" w:rsidRPr="00305C5B" w:rsidTr="00697BEE">
        <w:tc>
          <w:tcPr>
            <w:tcW w:w="4503" w:type="dxa"/>
          </w:tcPr>
          <w:p w:rsidR="001D57C4" w:rsidRPr="00B569AF" w:rsidRDefault="001D57C4" w:rsidP="009C1916">
            <w:pPr>
              <w:spacing w:before="120" w:after="120"/>
              <w:jc w:val="center"/>
              <w:rPr>
                <w:b/>
                <w:bCs/>
                <w:caps/>
                <w:noProof/>
                <w:lang w:val="af-ZA"/>
              </w:rPr>
            </w:pPr>
            <w:r w:rsidRPr="00B569AF">
              <w:rPr>
                <w:b/>
                <w:bCs/>
                <w:caps/>
                <w:noProof/>
                <w:lang w:val="af-ZA"/>
              </w:rPr>
              <w:t>Koninklijk besluit</w:t>
            </w:r>
            <w:r w:rsidR="00C2302A">
              <w:rPr>
                <w:b/>
                <w:bCs/>
                <w:caps/>
                <w:noProof/>
                <w:lang w:val="af-ZA"/>
              </w:rPr>
              <w:t xml:space="preserve"> </w:t>
            </w:r>
            <w:r w:rsidRPr="00B569AF">
              <w:rPr>
                <w:b/>
                <w:bCs/>
                <w:caps/>
                <w:noProof/>
                <w:lang w:val="af-ZA"/>
              </w:rPr>
              <w:t xml:space="preserve">tot wijziging van </w:t>
            </w:r>
            <w:r w:rsidR="00C16261">
              <w:rPr>
                <w:b/>
                <w:bCs/>
                <w:caps/>
                <w:noProof/>
                <w:lang w:val="af-ZA"/>
              </w:rPr>
              <w:t>de</w:t>
            </w:r>
            <w:r w:rsidRPr="00B569AF">
              <w:rPr>
                <w:b/>
                <w:bCs/>
                <w:caps/>
                <w:noProof/>
                <w:lang w:val="af-ZA"/>
              </w:rPr>
              <w:t xml:space="preserve"> koninklijk</w:t>
            </w:r>
            <w:r w:rsidR="00C16261">
              <w:rPr>
                <w:b/>
                <w:bCs/>
                <w:caps/>
                <w:noProof/>
                <w:lang w:val="af-ZA"/>
              </w:rPr>
              <w:t>e</w:t>
            </w:r>
            <w:r w:rsidRPr="00B569AF">
              <w:rPr>
                <w:b/>
                <w:bCs/>
                <w:caps/>
                <w:noProof/>
                <w:lang w:val="af-ZA"/>
              </w:rPr>
              <w:t xml:space="preserve"> besluit</w:t>
            </w:r>
            <w:r w:rsidR="00C16261">
              <w:rPr>
                <w:b/>
                <w:bCs/>
                <w:caps/>
                <w:noProof/>
                <w:lang w:val="af-ZA"/>
              </w:rPr>
              <w:t>en</w:t>
            </w:r>
            <w:r w:rsidRPr="00B569AF">
              <w:rPr>
                <w:b/>
                <w:bCs/>
                <w:caps/>
                <w:noProof/>
                <w:lang w:val="af-ZA"/>
              </w:rPr>
              <w:t xml:space="preserve"> </w:t>
            </w:r>
            <w:r w:rsidR="00E41131" w:rsidRPr="00B569AF">
              <w:rPr>
                <w:b/>
                <w:bCs/>
                <w:caps/>
                <w:noProof/>
                <w:lang w:val="af-ZA"/>
              </w:rPr>
              <w:t xml:space="preserve">op </w:t>
            </w:r>
            <w:r w:rsidRPr="00B569AF">
              <w:rPr>
                <w:b/>
                <w:bCs/>
                <w:caps/>
                <w:noProof/>
                <w:lang w:val="af-ZA"/>
              </w:rPr>
              <w:t>de jaarrekening</w:t>
            </w:r>
            <w:r w:rsidR="00C16261">
              <w:rPr>
                <w:b/>
                <w:bCs/>
                <w:caps/>
                <w:noProof/>
                <w:lang w:val="af-ZA"/>
              </w:rPr>
              <w:t xml:space="preserve"> en geconsolideerde </w:t>
            </w:r>
            <w:r w:rsidR="00D97008">
              <w:rPr>
                <w:b/>
                <w:bCs/>
                <w:caps/>
                <w:noProof/>
                <w:lang w:val="af-ZA"/>
              </w:rPr>
              <w:t>JAAR</w:t>
            </w:r>
            <w:r w:rsidR="00C16261">
              <w:rPr>
                <w:b/>
                <w:bCs/>
                <w:caps/>
                <w:noProof/>
                <w:lang w:val="af-ZA"/>
              </w:rPr>
              <w:t>rekening</w:t>
            </w:r>
            <w:r w:rsidRPr="00B569AF">
              <w:rPr>
                <w:b/>
                <w:bCs/>
                <w:caps/>
                <w:noProof/>
                <w:lang w:val="af-ZA"/>
              </w:rPr>
              <w:t xml:space="preserve"> van de kredietinstellingen, de beleggingsondernemingen en de beheervennootschappen vAN instellingen voor collectieve belegging </w:t>
            </w:r>
          </w:p>
        </w:tc>
        <w:tc>
          <w:tcPr>
            <w:tcW w:w="4245" w:type="dxa"/>
          </w:tcPr>
          <w:p w:rsidR="001D57C4" w:rsidRPr="00B569AF" w:rsidRDefault="001D57C4">
            <w:pPr>
              <w:spacing w:before="120" w:after="120"/>
              <w:jc w:val="center"/>
              <w:rPr>
                <w:b/>
                <w:bCs/>
                <w:caps/>
                <w:noProof/>
                <w:lang w:val="af-ZA"/>
              </w:rPr>
            </w:pPr>
            <w:r w:rsidRPr="00B569AF">
              <w:rPr>
                <w:b/>
                <w:bCs/>
                <w:caps/>
                <w:noProof/>
                <w:lang w:val="af-ZA"/>
              </w:rPr>
              <w:t>ARRÊTÉ ROYAL portant modification de</w:t>
            </w:r>
            <w:r w:rsidR="00B1272C">
              <w:rPr>
                <w:b/>
                <w:bCs/>
                <w:caps/>
                <w:noProof/>
                <w:lang w:val="af-ZA"/>
              </w:rPr>
              <w:t>s</w:t>
            </w:r>
            <w:r w:rsidRPr="00B569AF">
              <w:rPr>
                <w:b/>
                <w:bCs/>
                <w:caps/>
                <w:noProof/>
                <w:lang w:val="af-ZA"/>
              </w:rPr>
              <w:t xml:space="preserve"> arrête</w:t>
            </w:r>
            <w:r w:rsidR="00B1272C">
              <w:rPr>
                <w:b/>
                <w:bCs/>
                <w:caps/>
                <w:noProof/>
                <w:lang w:val="af-ZA"/>
              </w:rPr>
              <w:t>s</w:t>
            </w:r>
            <w:r w:rsidRPr="00B569AF">
              <w:rPr>
                <w:b/>
                <w:bCs/>
                <w:caps/>
                <w:noProof/>
                <w:lang w:val="af-ZA"/>
              </w:rPr>
              <w:t xml:space="preserve"> roya</w:t>
            </w:r>
            <w:r w:rsidR="00B1272C">
              <w:rPr>
                <w:b/>
                <w:bCs/>
                <w:caps/>
                <w:noProof/>
                <w:lang w:val="af-ZA"/>
              </w:rPr>
              <w:t>ux</w:t>
            </w:r>
            <w:r w:rsidR="00E41131">
              <w:rPr>
                <w:b/>
                <w:bCs/>
                <w:caps/>
                <w:noProof/>
                <w:lang w:val="af-ZA"/>
              </w:rPr>
              <w:t xml:space="preserve"> </w:t>
            </w:r>
            <w:r w:rsidRPr="00B569AF">
              <w:rPr>
                <w:b/>
                <w:bCs/>
                <w:caps/>
                <w:noProof/>
                <w:lang w:val="af-ZA"/>
              </w:rPr>
              <w:t>relatif</w:t>
            </w:r>
            <w:r w:rsidR="00B1272C">
              <w:rPr>
                <w:b/>
                <w:bCs/>
                <w:caps/>
                <w:noProof/>
                <w:lang w:val="af-ZA"/>
              </w:rPr>
              <w:t>s</w:t>
            </w:r>
            <w:r w:rsidRPr="00B569AF">
              <w:rPr>
                <w:b/>
                <w:bCs/>
                <w:caps/>
                <w:noProof/>
                <w:lang w:val="af-ZA"/>
              </w:rPr>
              <w:t xml:space="preserve"> aux comptes </w:t>
            </w:r>
            <w:r w:rsidR="007812BB">
              <w:rPr>
                <w:b/>
                <w:bCs/>
                <w:caps/>
                <w:noProof/>
                <w:lang w:val="af-ZA"/>
              </w:rPr>
              <w:t>annuels</w:t>
            </w:r>
            <w:r w:rsidRPr="00B569AF">
              <w:rPr>
                <w:b/>
                <w:bCs/>
                <w:caps/>
                <w:noProof/>
                <w:lang w:val="af-ZA"/>
              </w:rPr>
              <w:t xml:space="preserve"> </w:t>
            </w:r>
            <w:r w:rsidR="00B1272C">
              <w:rPr>
                <w:b/>
                <w:bCs/>
                <w:caps/>
                <w:noProof/>
                <w:lang w:val="af-ZA"/>
              </w:rPr>
              <w:t xml:space="preserve">et aux comptes consolides </w:t>
            </w:r>
            <w:r w:rsidRPr="00B569AF">
              <w:rPr>
                <w:b/>
                <w:bCs/>
                <w:caps/>
                <w:noProof/>
                <w:lang w:val="af-ZA"/>
              </w:rPr>
              <w:t xml:space="preserve">des etablissements de credit, des entreprises d'investissement et des sociétés de gestion d'organismes de placement collectif </w:t>
            </w:r>
          </w:p>
        </w:tc>
      </w:tr>
      <w:tr w:rsidR="005D23DC" w:rsidRPr="00B569AF" w:rsidTr="00C221B4">
        <w:tc>
          <w:tcPr>
            <w:tcW w:w="4503" w:type="dxa"/>
          </w:tcPr>
          <w:p w:rsidR="005D23DC" w:rsidRPr="00B569AF" w:rsidRDefault="007812BB" w:rsidP="000630FB">
            <w:pPr>
              <w:spacing w:before="120" w:after="120"/>
              <w:jc w:val="both"/>
              <w:rPr>
                <w:b/>
                <w:bCs/>
                <w:caps/>
                <w:noProof/>
                <w:lang w:val="af-ZA"/>
              </w:rPr>
            </w:pPr>
            <w:r>
              <w:rPr>
                <w:noProof/>
                <w:lang w:val="af-ZA"/>
              </w:rPr>
              <w:t>FILIP</w:t>
            </w:r>
            <w:r w:rsidR="000630FB" w:rsidRPr="00B569AF">
              <w:rPr>
                <w:noProof/>
                <w:lang w:val="af-ZA"/>
              </w:rPr>
              <w:t xml:space="preserve">, Koning der Belgen, </w:t>
            </w:r>
          </w:p>
        </w:tc>
        <w:tc>
          <w:tcPr>
            <w:tcW w:w="4245" w:type="dxa"/>
          </w:tcPr>
          <w:p w:rsidR="005D23DC" w:rsidRPr="00B569AF" w:rsidRDefault="007812BB" w:rsidP="005D23DC">
            <w:pPr>
              <w:spacing w:before="120" w:after="120"/>
              <w:jc w:val="both"/>
              <w:rPr>
                <w:bCs/>
                <w:noProof/>
                <w:lang w:val="af-ZA"/>
              </w:rPr>
            </w:pPr>
            <w:r>
              <w:rPr>
                <w:bCs/>
                <w:noProof/>
                <w:lang w:val="af-ZA"/>
              </w:rPr>
              <w:t>PHILIPPE</w:t>
            </w:r>
            <w:r w:rsidR="005D23DC" w:rsidRPr="00B569AF">
              <w:rPr>
                <w:bCs/>
                <w:noProof/>
                <w:lang w:val="af-ZA"/>
              </w:rPr>
              <w:t>, Roi des Belges,</w:t>
            </w:r>
          </w:p>
        </w:tc>
      </w:tr>
      <w:tr w:rsidR="00D669B0" w:rsidRPr="00305C5B" w:rsidTr="00C221B4">
        <w:tc>
          <w:tcPr>
            <w:tcW w:w="4503" w:type="dxa"/>
          </w:tcPr>
          <w:p w:rsidR="00D669B0" w:rsidRPr="00B569AF" w:rsidRDefault="000630FB" w:rsidP="00493B5F">
            <w:pPr>
              <w:spacing w:before="120" w:after="120"/>
              <w:jc w:val="both"/>
              <w:rPr>
                <w:noProof/>
                <w:lang w:val="af-ZA"/>
              </w:rPr>
            </w:pPr>
            <w:r w:rsidRPr="00B569AF">
              <w:rPr>
                <w:noProof/>
                <w:lang w:val="af-ZA"/>
              </w:rPr>
              <w:t>Aan allen die nu zijn en hierna wezen zullen, Onze Groet.</w:t>
            </w:r>
          </w:p>
        </w:tc>
        <w:tc>
          <w:tcPr>
            <w:tcW w:w="4245" w:type="dxa"/>
          </w:tcPr>
          <w:p w:rsidR="00D669B0" w:rsidRPr="00B569AF" w:rsidRDefault="00A96C75" w:rsidP="00F62CA4">
            <w:pPr>
              <w:spacing w:before="120" w:after="120"/>
              <w:jc w:val="both"/>
              <w:rPr>
                <w:noProof/>
                <w:lang w:val="af-ZA"/>
              </w:rPr>
            </w:pPr>
            <w:r w:rsidRPr="00B569AF">
              <w:rPr>
                <w:noProof/>
                <w:lang w:val="af-ZA"/>
              </w:rPr>
              <w:t>A to</w:t>
            </w:r>
            <w:r w:rsidR="00F62CA4" w:rsidRPr="00B569AF">
              <w:rPr>
                <w:noProof/>
                <w:lang w:val="af-ZA"/>
              </w:rPr>
              <w:t>us, présents et à venir, Salut.</w:t>
            </w:r>
          </w:p>
        </w:tc>
      </w:tr>
      <w:tr w:rsidR="000A2263" w:rsidRPr="00305C5B" w:rsidTr="00C221B4">
        <w:tc>
          <w:tcPr>
            <w:tcW w:w="4503" w:type="dxa"/>
          </w:tcPr>
          <w:p w:rsidR="000A2263" w:rsidRPr="00B569AF" w:rsidRDefault="000A2263" w:rsidP="00CB7471">
            <w:pPr>
              <w:spacing w:before="120" w:after="120"/>
              <w:jc w:val="both"/>
              <w:rPr>
                <w:noProof/>
                <w:lang w:val="af-ZA"/>
              </w:rPr>
            </w:pPr>
            <w:r w:rsidRPr="00B569AF">
              <w:rPr>
                <w:bCs/>
                <w:noProof/>
                <w:lang w:val="af-ZA"/>
              </w:rPr>
              <w:t>Gelet op de wet van 6 april 1995 inzake het statuut van en het toezicht op de beleggingsondernemingen, artikel 91, derde lid, 2°</w:t>
            </w:r>
            <w:r w:rsidR="00CC1930">
              <w:rPr>
                <w:bCs/>
                <w:noProof/>
                <w:lang w:val="af-ZA"/>
              </w:rPr>
              <w:t xml:space="preserve"> en zevende lid</w:t>
            </w:r>
            <w:r w:rsidRPr="00B569AF">
              <w:rPr>
                <w:bCs/>
                <w:noProof/>
                <w:lang w:val="af-ZA"/>
              </w:rPr>
              <w:t>;</w:t>
            </w:r>
          </w:p>
        </w:tc>
        <w:tc>
          <w:tcPr>
            <w:tcW w:w="4245" w:type="dxa"/>
          </w:tcPr>
          <w:p w:rsidR="000A2263" w:rsidRPr="00B569AF" w:rsidRDefault="000A2263" w:rsidP="00CB7471">
            <w:pPr>
              <w:spacing w:before="120" w:after="120"/>
              <w:jc w:val="both"/>
              <w:rPr>
                <w:noProof/>
                <w:lang w:val="af-ZA"/>
              </w:rPr>
            </w:pPr>
            <w:r w:rsidRPr="00B569AF">
              <w:rPr>
                <w:noProof/>
                <w:lang w:val="af-ZA"/>
              </w:rPr>
              <w:t xml:space="preserve">Vu la loi du 6 avril 1995 relative au statut et au contrôle des entreprises d’investissement, </w:t>
            </w:r>
            <w:r w:rsidR="00A241A2">
              <w:rPr>
                <w:noProof/>
                <w:lang w:val="af-ZA"/>
              </w:rPr>
              <w:t>l’</w:t>
            </w:r>
            <w:r w:rsidRPr="00B569AF">
              <w:rPr>
                <w:noProof/>
                <w:lang w:val="af-ZA"/>
              </w:rPr>
              <w:t>article 91, alinéa</w:t>
            </w:r>
            <w:r w:rsidR="00CC1930">
              <w:rPr>
                <w:noProof/>
                <w:lang w:val="af-ZA"/>
              </w:rPr>
              <w:t>s</w:t>
            </w:r>
            <w:r w:rsidRPr="00B569AF">
              <w:rPr>
                <w:noProof/>
                <w:lang w:val="af-ZA"/>
              </w:rPr>
              <w:t xml:space="preserve"> 3, 2°</w:t>
            </w:r>
            <w:r w:rsidR="00CC1930">
              <w:rPr>
                <w:noProof/>
                <w:lang w:val="af-ZA"/>
              </w:rPr>
              <w:t xml:space="preserve"> et 7;</w:t>
            </w:r>
          </w:p>
        </w:tc>
      </w:tr>
      <w:tr w:rsidR="00591A4E" w:rsidRPr="00305C5B" w:rsidTr="00591A4E">
        <w:tc>
          <w:tcPr>
            <w:tcW w:w="4503" w:type="dxa"/>
          </w:tcPr>
          <w:p w:rsidR="00591A4E" w:rsidRPr="00591A4E" w:rsidRDefault="00591A4E" w:rsidP="00CB7471">
            <w:pPr>
              <w:spacing w:before="120" w:after="120"/>
              <w:jc w:val="both"/>
              <w:rPr>
                <w:noProof/>
                <w:lang w:val="af-ZA"/>
              </w:rPr>
            </w:pPr>
            <w:r w:rsidRPr="00591A4E">
              <w:rPr>
                <w:noProof/>
                <w:lang w:val="af-ZA"/>
              </w:rPr>
              <w:t xml:space="preserve">Gelet op de wet </w:t>
            </w:r>
            <w:r w:rsidR="00C2302A" w:rsidRPr="00C2302A">
              <w:rPr>
                <w:noProof/>
                <w:lang w:val="af-ZA"/>
              </w:rPr>
              <w:t>van 25 april 2014 op het statuut van en het toezicht op de kredietinstellingen</w:t>
            </w:r>
            <w:r w:rsidR="00C2302A">
              <w:rPr>
                <w:noProof/>
                <w:lang w:val="af-ZA"/>
              </w:rPr>
              <w:t xml:space="preserve">, artikel </w:t>
            </w:r>
            <w:r w:rsidR="00C2302A" w:rsidRPr="00C2302A">
              <w:rPr>
                <w:noProof/>
                <w:lang w:val="af-ZA"/>
              </w:rPr>
              <w:t xml:space="preserve">106, § 1, </w:t>
            </w:r>
            <w:r w:rsidR="00C2302A">
              <w:rPr>
                <w:noProof/>
                <w:lang w:val="af-ZA"/>
              </w:rPr>
              <w:t>tweede lid</w:t>
            </w:r>
            <w:r w:rsidR="00C2302A" w:rsidRPr="00C2302A">
              <w:rPr>
                <w:noProof/>
                <w:lang w:val="af-ZA"/>
              </w:rPr>
              <w:t>, 1° e</w:t>
            </w:r>
            <w:r w:rsidR="00C2302A">
              <w:rPr>
                <w:noProof/>
                <w:lang w:val="af-ZA"/>
              </w:rPr>
              <w:t>n</w:t>
            </w:r>
            <w:r w:rsidR="00C2302A" w:rsidRPr="00C2302A">
              <w:rPr>
                <w:noProof/>
                <w:lang w:val="af-ZA"/>
              </w:rPr>
              <w:t xml:space="preserve"> §</w:t>
            </w:r>
            <w:r w:rsidR="0069560A">
              <w:rPr>
                <w:noProof/>
                <w:lang w:val="af-ZA"/>
              </w:rPr>
              <w:t xml:space="preserve"> </w:t>
            </w:r>
            <w:r w:rsidR="00C2302A" w:rsidRPr="00C2302A">
              <w:rPr>
                <w:noProof/>
                <w:lang w:val="af-ZA"/>
              </w:rPr>
              <w:t>5;</w:t>
            </w:r>
          </w:p>
        </w:tc>
        <w:tc>
          <w:tcPr>
            <w:tcW w:w="4245" w:type="dxa"/>
          </w:tcPr>
          <w:p w:rsidR="00591A4E" w:rsidRPr="00591A4E" w:rsidRDefault="00591A4E" w:rsidP="00216F3D">
            <w:pPr>
              <w:spacing w:before="120" w:after="120"/>
              <w:jc w:val="both"/>
              <w:rPr>
                <w:noProof/>
                <w:lang w:val="af-ZA"/>
              </w:rPr>
            </w:pPr>
            <w:r w:rsidRPr="00591A4E">
              <w:rPr>
                <w:noProof/>
                <w:lang w:val="af-ZA"/>
              </w:rPr>
              <w:t xml:space="preserve">Vu la loi du </w:t>
            </w:r>
            <w:r w:rsidR="00216F3D">
              <w:rPr>
                <w:noProof/>
                <w:lang w:val="af-ZA"/>
              </w:rPr>
              <w:t>25</w:t>
            </w:r>
            <w:r w:rsidRPr="00591A4E">
              <w:rPr>
                <w:noProof/>
                <w:lang w:val="af-ZA"/>
              </w:rPr>
              <w:t xml:space="preserve"> </w:t>
            </w:r>
            <w:r w:rsidR="00216F3D">
              <w:rPr>
                <w:noProof/>
                <w:lang w:val="af-ZA"/>
              </w:rPr>
              <w:t>avril</w:t>
            </w:r>
            <w:r w:rsidRPr="00591A4E">
              <w:rPr>
                <w:noProof/>
                <w:lang w:val="af-ZA"/>
              </w:rPr>
              <w:t xml:space="preserve"> </w:t>
            </w:r>
            <w:r w:rsidR="00216F3D">
              <w:rPr>
                <w:noProof/>
                <w:lang w:val="af-ZA"/>
              </w:rPr>
              <w:t>2014</w:t>
            </w:r>
            <w:r w:rsidRPr="00591A4E">
              <w:rPr>
                <w:noProof/>
                <w:lang w:val="af-ZA"/>
              </w:rPr>
              <w:t xml:space="preserve"> relative au statut et au contrôle des établissements de crédit, </w:t>
            </w:r>
            <w:r w:rsidR="00216F3D">
              <w:rPr>
                <w:noProof/>
                <w:lang w:val="af-ZA"/>
              </w:rPr>
              <w:t>l’article 106, §</w:t>
            </w:r>
            <w:r w:rsidR="006759AB">
              <w:rPr>
                <w:noProof/>
                <w:lang w:val="af-ZA"/>
              </w:rPr>
              <w:t xml:space="preserve"> 1er</w:t>
            </w:r>
            <w:r w:rsidR="00216F3D">
              <w:rPr>
                <w:noProof/>
                <w:lang w:val="af-ZA"/>
              </w:rPr>
              <w:t>, alinéa 2</w:t>
            </w:r>
            <w:r w:rsidR="00A11E38">
              <w:rPr>
                <w:noProof/>
                <w:lang w:val="af-ZA"/>
              </w:rPr>
              <w:t>, 1°</w:t>
            </w:r>
            <w:r w:rsidRPr="00591A4E">
              <w:rPr>
                <w:noProof/>
                <w:lang w:val="af-ZA"/>
              </w:rPr>
              <w:t> </w:t>
            </w:r>
            <w:r w:rsidR="00216F3D">
              <w:rPr>
                <w:noProof/>
                <w:lang w:val="af-ZA"/>
              </w:rPr>
              <w:t xml:space="preserve"> et §</w:t>
            </w:r>
            <w:r w:rsidR="00CB7471">
              <w:rPr>
                <w:noProof/>
                <w:lang w:val="af-ZA"/>
              </w:rPr>
              <w:t xml:space="preserve"> </w:t>
            </w:r>
            <w:r w:rsidR="00216F3D">
              <w:rPr>
                <w:noProof/>
                <w:lang w:val="af-ZA"/>
              </w:rPr>
              <w:t>5</w:t>
            </w:r>
            <w:r w:rsidRPr="00591A4E">
              <w:rPr>
                <w:noProof/>
                <w:lang w:val="af-ZA"/>
              </w:rPr>
              <w:t>;</w:t>
            </w:r>
          </w:p>
        </w:tc>
      </w:tr>
      <w:tr w:rsidR="00591A4E" w:rsidRPr="00305C5B" w:rsidTr="00591A4E">
        <w:tc>
          <w:tcPr>
            <w:tcW w:w="4503" w:type="dxa"/>
          </w:tcPr>
          <w:p w:rsidR="00591A4E" w:rsidRPr="00591A4E" w:rsidRDefault="00591A4E" w:rsidP="00B07063">
            <w:pPr>
              <w:spacing w:before="120" w:after="120"/>
              <w:jc w:val="both"/>
              <w:rPr>
                <w:bCs/>
                <w:noProof/>
                <w:lang w:val="af-ZA"/>
              </w:rPr>
            </w:pPr>
            <w:r w:rsidRPr="00591A4E">
              <w:rPr>
                <w:bCs/>
                <w:noProof/>
                <w:lang w:val="af-ZA"/>
              </w:rPr>
              <w:t>Gelet op het koninklijk besluit van 23 september 1992 op de jaarrekening van de kredietinstellingen, de beleggingsondernemingen en de beheervennootschappen van instellingen voor collectieve belegging</w:t>
            </w:r>
            <w:r w:rsidR="000508E7">
              <w:rPr>
                <w:bCs/>
                <w:noProof/>
                <w:lang w:val="af-ZA"/>
              </w:rPr>
              <w:t xml:space="preserve">, </w:t>
            </w:r>
            <w:r w:rsidR="00574A5C">
              <w:rPr>
                <w:bCs/>
                <w:noProof/>
                <w:lang w:val="af-ZA"/>
              </w:rPr>
              <w:t xml:space="preserve"> </w:t>
            </w:r>
            <w:r w:rsidR="000508E7">
              <w:rPr>
                <w:bCs/>
                <w:noProof/>
                <w:lang w:val="af-ZA"/>
              </w:rPr>
              <w:t xml:space="preserve">gewijzigd </w:t>
            </w:r>
            <w:r w:rsidR="00B07063">
              <w:rPr>
                <w:bCs/>
                <w:noProof/>
                <w:lang w:val="af-ZA"/>
              </w:rPr>
              <w:t xml:space="preserve">bij de </w:t>
            </w:r>
            <w:r w:rsidR="000508E7">
              <w:rPr>
                <w:bCs/>
                <w:noProof/>
                <w:lang w:val="af-ZA"/>
              </w:rPr>
              <w:t>koninklijk</w:t>
            </w:r>
            <w:r w:rsidR="00B07063">
              <w:rPr>
                <w:bCs/>
                <w:noProof/>
                <w:lang w:val="af-ZA"/>
              </w:rPr>
              <w:t>e</w:t>
            </w:r>
            <w:r w:rsidR="000508E7">
              <w:rPr>
                <w:bCs/>
                <w:noProof/>
                <w:lang w:val="af-ZA"/>
              </w:rPr>
              <w:t xml:space="preserve"> besluit</w:t>
            </w:r>
            <w:r w:rsidR="00B07063">
              <w:rPr>
                <w:bCs/>
                <w:noProof/>
                <w:lang w:val="af-ZA"/>
              </w:rPr>
              <w:t>en</w:t>
            </w:r>
            <w:r w:rsidR="000508E7">
              <w:rPr>
                <w:bCs/>
                <w:noProof/>
                <w:lang w:val="af-ZA"/>
              </w:rPr>
              <w:t xml:space="preserve"> van </w:t>
            </w:r>
            <w:r w:rsidR="00B07063">
              <w:rPr>
                <w:bCs/>
                <w:noProof/>
                <w:lang w:val="af-ZA"/>
              </w:rPr>
              <w:t xml:space="preserve">26 november 1998, 20 juli 2000, 28 september 2008, 13 maart 2011 en </w:t>
            </w:r>
            <w:r w:rsidR="000508E7">
              <w:rPr>
                <w:bCs/>
                <w:noProof/>
                <w:lang w:val="af-ZA"/>
              </w:rPr>
              <w:t>28 februari 2014</w:t>
            </w:r>
            <w:r w:rsidRPr="00591A4E">
              <w:rPr>
                <w:bCs/>
                <w:noProof/>
                <w:lang w:val="af-ZA"/>
              </w:rPr>
              <w:t>;</w:t>
            </w:r>
          </w:p>
        </w:tc>
        <w:tc>
          <w:tcPr>
            <w:tcW w:w="4245" w:type="dxa"/>
          </w:tcPr>
          <w:p w:rsidR="00591A4E" w:rsidRPr="00591A4E" w:rsidRDefault="00591A4E" w:rsidP="00B07063">
            <w:pPr>
              <w:spacing w:before="120" w:after="120"/>
              <w:jc w:val="both"/>
              <w:rPr>
                <w:bCs/>
                <w:noProof/>
                <w:lang w:val="af-ZA"/>
              </w:rPr>
            </w:pPr>
            <w:r w:rsidRPr="00591A4E">
              <w:rPr>
                <w:bCs/>
                <w:noProof/>
                <w:lang w:val="af-ZA"/>
              </w:rPr>
              <w:t>Vu l’arrêté royal du 23 septembre 1992 relatif aux comptes annuels des établissements de crédit, des entreprises d’investissement et des sociétés de gestion d’organismes de placement collectif</w:t>
            </w:r>
            <w:r w:rsidR="00CE10DB">
              <w:rPr>
                <w:bCs/>
                <w:noProof/>
                <w:lang w:val="af-ZA"/>
              </w:rPr>
              <w:t>,</w:t>
            </w:r>
            <w:r w:rsidR="00DB2A35">
              <w:rPr>
                <w:noProof/>
                <w:lang w:val="fr-FR"/>
              </w:rPr>
              <w:t xml:space="preserve"> modifié par l</w:t>
            </w:r>
            <w:r w:rsidR="00B07063">
              <w:rPr>
                <w:noProof/>
                <w:lang w:val="fr-FR"/>
              </w:rPr>
              <w:t xml:space="preserve">es  </w:t>
            </w:r>
            <w:r w:rsidR="00DB2A35">
              <w:rPr>
                <w:noProof/>
                <w:lang w:val="fr-FR"/>
              </w:rPr>
              <w:t>arrêté</w:t>
            </w:r>
            <w:r w:rsidR="00B07063">
              <w:rPr>
                <w:noProof/>
                <w:lang w:val="fr-FR"/>
              </w:rPr>
              <w:t>s</w:t>
            </w:r>
            <w:r w:rsidR="00DB2A35">
              <w:rPr>
                <w:noProof/>
                <w:lang w:val="fr-FR"/>
              </w:rPr>
              <w:t xml:space="preserve"> roya</w:t>
            </w:r>
            <w:r w:rsidR="00B07063">
              <w:rPr>
                <w:noProof/>
                <w:lang w:val="fr-FR"/>
              </w:rPr>
              <w:t xml:space="preserve">ux des  26 novembre 1998, 20 juillet 2000, 28 septembre 2008, 13 mars 2011 et </w:t>
            </w:r>
            <w:r w:rsidR="00DB2A35">
              <w:rPr>
                <w:noProof/>
                <w:lang w:val="fr-FR"/>
              </w:rPr>
              <w:t>28 février 2014</w:t>
            </w:r>
            <w:r w:rsidRPr="00591A4E">
              <w:rPr>
                <w:bCs/>
                <w:noProof/>
                <w:lang w:val="af-ZA"/>
              </w:rPr>
              <w:t>;</w:t>
            </w:r>
          </w:p>
        </w:tc>
      </w:tr>
      <w:tr w:rsidR="000A2263" w:rsidRPr="00305C5B" w:rsidTr="00591A4E">
        <w:tc>
          <w:tcPr>
            <w:tcW w:w="4503" w:type="dxa"/>
          </w:tcPr>
          <w:p w:rsidR="000A2263" w:rsidRPr="00591A4E" w:rsidRDefault="000A2263" w:rsidP="00102BE2">
            <w:pPr>
              <w:spacing w:before="120" w:after="120"/>
              <w:jc w:val="both"/>
              <w:rPr>
                <w:bCs/>
                <w:noProof/>
                <w:lang w:val="af-ZA"/>
              </w:rPr>
            </w:pPr>
            <w:r w:rsidRPr="000A2263">
              <w:rPr>
                <w:bCs/>
                <w:noProof/>
                <w:lang w:val="af-ZA"/>
              </w:rPr>
              <w:t xml:space="preserve">Gelet op het koninklijk besluit van 23 september 1992 op de </w:t>
            </w:r>
            <w:r>
              <w:rPr>
                <w:bCs/>
                <w:noProof/>
                <w:lang w:val="af-ZA"/>
              </w:rPr>
              <w:t xml:space="preserve">geconsolideerde </w:t>
            </w:r>
            <w:r w:rsidRPr="000A2263">
              <w:rPr>
                <w:bCs/>
                <w:noProof/>
                <w:lang w:val="af-ZA"/>
              </w:rPr>
              <w:t xml:space="preserve">jaarrekening van de kredietinstellingen, de </w:t>
            </w:r>
            <w:r w:rsidRPr="000A2263">
              <w:rPr>
                <w:bCs/>
                <w:noProof/>
                <w:lang w:val="af-ZA"/>
              </w:rPr>
              <w:lastRenderedPageBreak/>
              <w:t>beleggingsondernemingen en de beheervennootschappen van instellingen voor collectieve belegging</w:t>
            </w:r>
            <w:r w:rsidR="00102BE2">
              <w:rPr>
                <w:bCs/>
                <w:noProof/>
                <w:lang w:val="af-ZA"/>
              </w:rPr>
              <w:t>,</w:t>
            </w:r>
            <w:r w:rsidR="00102BE2" w:rsidRPr="00102BE2">
              <w:rPr>
                <w:bCs/>
                <w:noProof/>
                <w:lang w:val="af-ZA"/>
              </w:rPr>
              <w:t>gewijzigd bij de koninklijke besluiten van</w:t>
            </w:r>
            <w:r w:rsidR="00102BE2">
              <w:rPr>
                <w:bCs/>
                <w:noProof/>
                <w:lang w:val="af-ZA"/>
              </w:rPr>
              <w:t xml:space="preserve"> 26 november 1998, 20 juli 2000, 5 december 2004, 1 september 2006 en 1 juli 2012;</w:t>
            </w:r>
            <w:r w:rsidRPr="000A2263">
              <w:rPr>
                <w:bCs/>
                <w:noProof/>
                <w:lang w:val="af-ZA"/>
              </w:rPr>
              <w:t xml:space="preserve"> </w:t>
            </w:r>
          </w:p>
        </w:tc>
        <w:tc>
          <w:tcPr>
            <w:tcW w:w="4245" w:type="dxa"/>
          </w:tcPr>
          <w:p w:rsidR="000A2263" w:rsidRPr="00591A4E" w:rsidRDefault="000A2263" w:rsidP="00102BE2">
            <w:pPr>
              <w:spacing w:before="120" w:after="120"/>
              <w:jc w:val="both"/>
              <w:rPr>
                <w:bCs/>
                <w:noProof/>
                <w:lang w:val="af-ZA"/>
              </w:rPr>
            </w:pPr>
            <w:r w:rsidRPr="000A2263">
              <w:rPr>
                <w:bCs/>
                <w:noProof/>
                <w:lang w:val="af-ZA"/>
              </w:rPr>
              <w:lastRenderedPageBreak/>
              <w:t xml:space="preserve">Vu l’arrêté royal du 23 septembre 1992 relatif aux comptes </w:t>
            </w:r>
            <w:r>
              <w:rPr>
                <w:bCs/>
                <w:noProof/>
                <w:lang w:val="af-ZA"/>
              </w:rPr>
              <w:t xml:space="preserve">consolidés </w:t>
            </w:r>
            <w:r w:rsidRPr="000A2263">
              <w:rPr>
                <w:bCs/>
                <w:noProof/>
                <w:lang w:val="af-ZA"/>
              </w:rPr>
              <w:t xml:space="preserve">des établissements de crédit, des entreprises </w:t>
            </w:r>
            <w:r w:rsidRPr="000A2263">
              <w:rPr>
                <w:bCs/>
                <w:noProof/>
                <w:lang w:val="af-ZA"/>
              </w:rPr>
              <w:lastRenderedPageBreak/>
              <w:t>d’investissement et des sociétés de gestion d’organismes de placement</w:t>
            </w:r>
            <w:r w:rsidR="00CE10DB">
              <w:rPr>
                <w:bCs/>
                <w:noProof/>
                <w:lang w:val="af-ZA"/>
              </w:rPr>
              <w:t>, modifié par les arrêtés royaux des 26 novembre 199</w:t>
            </w:r>
            <w:r w:rsidR="00102BE2">
              <w:rPr>
                <w:bCs/>
                <w:noProof/>
                <w:lang w:val="af-ZA"/>
              </w:rPr>
              <w:t>8</w:t>
            </w:r>
            <w:r w:rsidR="00CE10DB">
              <w:rPr>
                <w:bCs/>
                <w:noProof/>
                <w:lang w:val="af-ZA"/>
              </w:rPr>
              <w:t xml:space="preserve">, </w:t>
            </w:r>
            <w:r w:rsidR="00102BE2">
              <w:rPr>
                <w:bCs/>
                <w:noProof/>
                <w:lang w:val="af-ZA"/>
              </w:rPr>
              <w:t>20 juillet 2000, 5 décembre 2004, 1er septembre 2006 et 1er juillet 2012;</w:t>
            </w:r>
          </w:p>
        </w:tc>
      </w:tr>
      <w:tr w:rsidR="00BF70FA" w:rsidRPr="00305C5B" w:rsidTr="0078214D">
        <w:tc>
          <w:tcPr>
            <w:tcW w:w="4503" w:type="dxa"/>
          </w:tcPr>
          <w:p w:rsidR="00BF70FA" w:rsidRPr="00B569AF" w:rsidRDefault="00BF70FA" w:rsidP="000A2263">
            <w:pPr>
              <w:spacing w:before="120" w:after="120"/>
              <w:jc w:val="both"/>
              <w:rPr>
                <w:noProof/>
                <w:lang w:val="af-ZA"/>
              </w:rPr>
            </w:pPr>
            <w:r w:rsidRPr="00BF70FA">
              <w:rPr>
                <w:noProof/>
                <w:lang w:val="af-ZA"/>
              </w:rPr>
              <w:lastRenderedPageBreak/>
              <w:t>Gelet op het advies van de Autoriteit voor Financiële Diensten en Markten, gegeven op 3 juli 2014;</w:t>
            </w:r>
          </w:p>
        </w:tc>
        <w:tc>
          <w:tcPr>
            <w:tcW w:w="4245" w:type="dxa"/>
          </w:tcPr>
          <w:p w:rsidR="00BF70FA" w:rsidRPr="00B569AF" w:rsidRDefault="00BF70FA" w:rsidP="00CE10DB">
            <w:pPr>
              <w:spacing w:before="120" w:after="120"/>
              <w:jc w:val="both"/>
              <w:rPr>
                <w:noProof/>
                <w:lang w:val="af-ZA"/>
              </w:rPr>
            </w:pPr>
            <w:r w:rsidRPr="00BF70FA">
              <w:rPr>
                <w:noProof/>
                <w:lang w:val="af-ZA"/>
              </w:rPr>
              <w:t>Vu l'avis de l'Autorité des services et marchés financiers, donné le 3 juillet 2014;</w:t>
            </w:r>
          </w:p>
        </w:tc>
      </w:tr>
      <w:tr w:rsidR="00BF70FA" w:rsidRPr="00305C5B" w:rsidTr="0078214D">
        <w:tc>
          <w:tcPr>
            <w:tcW w:w="4503" w:type="dxa"/>
          </w:tcPr>
          <w:p w:rsidR="00BF70FA" w:rsidRPr="00B569AF" w:rsidRDefault="00BF70FA" w:rsidP="00BF70FA">
            <w:pPr>
              <w:spacing w:before="120" w:after="120"/>
              <w:jc w:val="both"/>
              <w:rPr>
                <w:noProof/>
                <w:lang w:val="af-ZA"/>
              </w:rPr>
            </w:pPr>
            <w:r w:rsidRPr="00BF70FA">
              <w:rPr>
                <w:noProof/>
                <w:lang w:val="af-ZA"/>
              </w:rPr>
              <w:t>Gelet op het advies van de Nationale Bank, gegeven op 23 juli 2014</w:t>
            </w:r>
            <w:r>
              <w:rPr>
                <w:noProof/>
                <w:lang w:val="af-ZA"/>
              </w:rPr>
              <w:t>;</w:t>
            </w:r>
            <w:r w:rsidRPr="00BF70FA">
              <w:rPr>
                <w:noProof/>
                <w:lang w:val="af-ZA"/>
              </w:rPr>
              <w:t xml:space="preserve"> </w:t>
            </w:r>
          </w:p>
        </w:tc>
        <w:tc>
          <w:tcPr>
            <w:tcW w:w="4245" w:type="dxa"/>
          </w:tcPr>
          <w:p w:rsidR="00BF70FA" w:rsidRPr="00B569AF" w:rsidRDefault="00BF70FA" w:rsidP="00BF70FA">
            <w:pPr>
              <w:spacing w:before="120" w:after="120"/>
              <w:jc w:val="both"/>
              <w:rPr>
                <w:noProof/>
                <w:lang w:val="af-ZA"/>
              </w:rPr>
            </w:pPr>
            <w:r w:rsidRPr="00BF70FA">
              <w:rPr>
                <w:noProof/>
                <w:lang w:val="af-ZA"/>
              </w:rPr>
              <w:t>Vu l’avis de la Banque Nationale</w:t>
            </w:r>
            <w:r w:rsidR="003A663F">
              <w:rPr>
                <w:noProof/>
                <w:lang w:val="af-ZA"/>
              </w:rPr>
              <w:t>,</w:t>
            </w:r>
            <w:r w:rsidRPr="00BF70FA">
              <w:rPr>
                <w:noProof/>
                <w:lang w:val="af-ZA"/>
              </w:rPr>
              <w:t xml:space="preserve"> donné le  23 juillet 2014</w:t>
            </w:r>
            <w:r>
              <w:rPr>
                <w:noProof/>
                <w:lang w:val="af-ZA"/>
              </w:rPr>
              <w:t>;</w:t>
            </w:r>
            <w:r w:rsidRPr="00BF70FA">
              <w:rPr>
                <w:noProof/>
                <w:lang w:val="af-ZA"/>
              </w:rPr>
              <w:t xml:space="preserve"> </w:t>
            </w:r>
          </w:p>
        </w:tc>
      </w:tr>
      <w:tr w:rsidR="00BF70FA" w:rsidRPr="00305C5B" w:rsidTr="0078214D">
        <w:tc>
          <w:tcPr>
            <w:tcW w:w="4503" w:type="dxa"/>
          </w:tcPr>
          <w:p w:rsidR="00BF70FA" w:rsidRPr="00B569AF" w:rsidRDefault="00BF70FA" w:rsidP="000A2263">
            <w:pPr>
              <w:spacing w:before="120" w:after="120"/>
              <w:jc w:val="both"/>
              <w:rPr>
                <w:noProof/>
                <w:lang w:val="af-ZA"/>
              </w:rPr>
            </w:pPr>
            <w:r w:rsidRPr="00B569AF">
              <w:rPr>
                <w:noProof/>
                <w:lang w:val="af-ZA"/>
              </w:rPr>
              <w:t>Gelet op de raadpleging van de beroepsverenigingen;</w:t>
            </w:r>
          </w:p>
        </w:tc>
        <w:tc>
          <w:tcPr>
            <w:tcW w:w="4245" w:type="dxa"/>
          </w:tcPr>
          <w:p w:rsidR="00BF70FA" w:rsidRPr="00B569AF" w:rsidRDefault="00BF70FA" w:rsidP="0009138B">
            <w:pPr>
              <w:spacing w:before="120" w:after="120"/>
              <w:jc w:val="both"/>
              <w:rPr>
                <w:noProof/>
                <w:lang w:val="af-ZA"/>
              </w:rPr>
            </w:pPr>
            <w:r w:rsidRPr="00B569AF">
              <w:rPr>
                <w:noProof/>
                <w:lang w:val="af-ZA"/>
              </w:rPr>
              <w:t>Vu la consultation des associations professionnelles</w:t>
            </w:r>
            <w:r>
              <w:rPr>
                <w:noProof/>
                <w:lang w:val="af-ZA"/>
              </w:rPr>
              <w:t>;</w:t>
            </w:r>
          </w:p>
        </w:tc>
      </w:tr>
      <w:tr w:rsidR="00212919" w:rsidRPr="00305C5B" w:rsidTr="0078214D">
        <w:tc>
          <w:tcPr>
            <w:tcW w:w="4503" w:type="dxa"/>
          </w:tcPr>
          <w:p w:rsidR="00212919" w:rsidRPr="00B569AF" w:rsidRDefault="00212919" w:rsidP="000A2263">
            <w:pPr>
              <w:spacing w:before="120" w:after="120"/>
              <w:jc w:val="both"/>
              <w:rPr>
                <w:noProof/>
                <w:lang w:val="af-ZA"/>
              </w:rPr>
            </w:pPr>
            <w:r w:rsidRPr="00A11547">
              <w:rPr>
                <w:noProof/>
                <w:lang w:val="af-ZA"/>
              </w:rPr>
              <w:t xml:space="preserve">Gelet op advies xxx van de Raad van State, gegeven op xxx, met toepassing van artikel 84, § 1, eerste lid, </w:t>
            </w:r>
            <w:r w:rsidR="000A2263" w:rsidRPr="0069560A">
              <w:rPr>
                <w:noProof/>
                <w:lang w:val="af-ZA"/>
              </w:rPr>
              <w:t>2</w:t>
            </w:r>
            <w:r w:rsidRPr="00A11547">
              <w:rPr>
                <w:noProof/>
                <w:lang w:val="af-ZA"/>
              </w:rPr>
              <w:t>°, van de wetten op de Raad van State, gecoördineerd op 12 januari 1973;</w:t>
            </w:r>
          </w:p>
        </w:tc>
        <w:tc>
          <w:tcPr>
            <w:tcW w:w="4245" w:type="dxa"/>
          </w:tcPr>
          <w:p w:rsidR="00212919" w:rsidRPr="00B569AF" w:rsidRDefault="00212919" w:rsidP="00AE193A">
            <w:pPr>
              <w:spacing w:before="120" w:after="120"/>
              <w:jc w:val="both"/>
              <w:rPr>
                <w:noProof/>
                <w:lang w:val="af-ZA"/>
              </w:rPr>
            </w:pPr>
            <w:r w:rsidRPr="00B569AF">
              <w:rPr>
                <w:noProof/>
                <w:lang w:val="af-ZA"/>
              </w:rPr>
              <w:t xml:space="preserve">Vu l'avis xxx du Conseil d'État, donné </w:t>
            </w:r>
            <w:r w:rsidRPr="00B569AF">
              <w:rPr>
                <w:noProof/>
                <w:lang w:val="af-ZA"/>
              </w:rPr>
              <w:br/>
              <w:t>le xxx , en application de l'article 84, §</w:t>
            </w:r>
            <w:r>
              <w:rPr>
                <w:noProof/>
                <w:lang w:val="af-ZA"/>
              </w:rPr>
              <w:t> </w:t>
            </w:r>
            <w:r w:rsidRPr="00B569AF">
              <w:rPr>
                <w:noProof/>
                <w:lang w:val="af-ZA"/>
              </w:rPr>
              <w:t xml:space="preserve">1er, alinéa 1er, </w:t>
            </w:r>
            <w:r w:rsidR="000A2263">
              <w:rPr>
                <w:noProof/>
                <w:lang w:val="af-ZA"/>
              </w:rPr>
              <w:t>2</w:t>
            </w:r>
            <w:r w:rsidRPr="00B569AF">
              <w:rPr>
                <w:noProof/>
                <w:lang w:val="af-ZA"/>
              </w:rPr>
              <w:t>°, des lois sur le Conseil d'</w:t>
            </w:r>
            <w:r w:rsidR="0009138B">
              <w:rPr>
                <w:noProof/>
                <w:lang w:val="af-ZA"/>
              </w:rPr>
              <w:t>É</w:t>
            </w:r>
            <w:r w:rsidRPr="00B569AF">
              <w:rPr>
                <w:noProof/>
                <w:lang w:val="af-ZA"/>
              </w:rPr>
              <w:t>tat, coordonnées le 12</w:t>
            </w:r>
            <w:r>
              <w:rPr>
                <w:noProof/>
                <w:lang w:val="af-ZA"/>
              </w:rPr>
              <w:t> </w:t>
            </w:r>
            <w:r w:rsidRPr="00B569AF">
              <w:rPr>
                <w:noProof/>
                <w:lang w:val="af-ZA"/>
              </w:rPr>
              <w:t>janvier</w:t>
            </w:r>
            <w:r>
              <w:rPr>
                <w:noProof/>
                <w:lang w:val="af-ZA"/>
              </w:rPr>
              <w:t> </w:t>
            </w:r>
            <w:r w:rsidRPr="00B569AF">
              <w:rPr>
                <w:noProof/>
                <w:lang w:val="af-ZA"/>
              </w:rPr>
              <w:t>1973;</w:t>
            </w:r>
          </w:p>
        </w:tc>
      </w:tr>
      <w:tr w:rsidR="00D669B0" w:rsidRPr="00305C5B" w:rsidTr="00C221B4">
        <w:tc>
          <w:tcPr>
            <w:tcW w:w="4503" w:type="dxa"/>
          </w:tcPr>
          <w:p w:rsidR="00E8292F" w:rsidRPr="00B569AF" w:rsidRDefault="00E8292F" w:rsidP="00D731F8">
            <w:pPr>
              <w:spacing w:before="120" w:after="120"/>
              <w:jc w:val="both"/>
              <w:rPr>
                <w:noProof/>
                <w:lang w:val="af-ZA"/>
              </w:rPr>
            </w:pPr>
            <w:r w:rsidRPr="00B569AF">
              <w:rPr>
                <w:noProof/>
                <w:lang w:val="af-ZA"/>
              </w:rPr>
              <w:t xml:space="preserve">Op de voordracht van de </w:t>
            </w:r>
            <w:r w:rsidR="00D731F8">
              <w:rPr>
                <w:noProof/>
                <w:lang w:val="af-ZA"/>
              </w:rPr>
              <w:t>M</w:t>
            </w:r>
            <w:r w:rsidRPr="00B569AF">
              <w:rPr>
                <w:noProof/>
                <w:lang w:val="af-ZA"/>
              </w:rPr>
              <w:t>inister van Financiën,</w:t>
            </w:r>
          </w:p>
        </w:tc>
        <w:tc>
          <w:tcPr>
            <w:tcW w:w="4245" w:type="dxa"/>
          </w:tcPr>
          <w:p w:rsidR="00D669B0" w:rsidRPr="00B569AF" w:rsidRDefault="00D669B0" w:rsidP="000B7C50">
            <w:pPr>
              <w:spacing w:before="120" w:after="120"/>
              <w:jc w:val="both"/>
              <w:rPr>
                <w:noProof/>
                <w:lang w:val="af-ZA"/>
              </w:rPr>
            </w:pPr>
            <w:r w:rsidRPr="00B569AF">
              <w:rPr>
                <w:noProof/>
                <w:lang w:val="af-ZA"/>
              </w:rPr>
              <w:t xml:space="preserve">Sur la proposition </w:t>
            </w:r>
            <w:r w:rsidR="00761100" w:rsidRPr="00B569AF">
              <w:rPr>
                <w:noProof/>
                <w:lang w:val="af-ZA"/>
              </w:rPr>
              <w:t>du</w:t>
            </w:r>
            <w:r w:rsidRPr="00B569AF">
              <w:rPr>
                <w:noProof/>
                <w:lang w:val="af-ZA"/>
              </w:rPr>
              <w:t xml:space="preserve"> Ministre des Finances,</w:t>
            </w:r>
          </w:p>
        </w:tc>
      </w:tr>
      <w:tr w:rsidR="00D669B0" w:rsidRPr="00305C5B" w:rsidTr="00C221B4">
        <w:tc>
          <w:tcPr>
            <w:tcW w:w="4503" w:type="dxa"/>
          </w:tcPr>
          <w:p w:rsidR="00D669B0" w:rsidRPr="00B569AF" w:rsidRDefault="00D669B0" w:rsidP="00E8292F">
            <w:pPr>
              <w:spacing w:before="120" w:after="120"/>
              <w:jc w:val="center"/>
              <w:rPr>
                <w:smallCaps/>
                <w:noProof/>
                <w:lang w:val="af-ZA"/>
              </w:rPr>
            </w:pPr>
            <w:r w:rsidRPr="00B569AF">
              <w:rPr>
                <w:smallCaps/>
                <w:noProof/>
                <w:lang w:val="af-ZA"/>
              </w:rPr>
              <w:t>Hebben wij besloten en besluiten wij:</w:t>
            </w:r>
          </w:p>
        </w:tc>
        <w:tc>
          <w:tcPr>
            <w:tcW w:w="4245" w:type="dxa"/>
          </w:tcPr>
          <w:p w:rsidR="00D669B0" w:rsidRPr="00B569AF" w:rsidRDefault="00D669B0" w:rsidP="00C255F4">
            <w:pPr>
              <w:spacing w:before="120" w:after="120"/>
              <w:jc w:val="center"/>
              <w:rPr>
                <w:smallCaps/>
                <w:noProof/>
                <w:lang w:val="af-ZA"/>
              </w:rPr>
            </w:pPr>
            <w:r w:rsidRPr="00B569AF">
              <w:rPr>
                <w:smallCaps/>
                <w:noProof/>
                <w:lang w:val="af-ZA"/>
              </w:rPr>
              <w:t>Nous avons arrêté et arrêtons :</w:t>
            </w:r>
          </w:p>
        </w:tc>
      </w:tr>
      <w:tr w:rsidR="00D669B0" w:rsidRPr="00305C5B" w:rsidTr="00C221B4">
        <w:tc>
          <w:tcPr>
            <w:tcW w:w="4503" w:type="dxa"/>
          </w:tcPr>
          <w:p w:rsidR="00D669B0" w:rsidRPr="00B569AF" w:rsidRDefault="000508E7" w:rsidP="000508E7">
            <w:pPr>
              <w:spacing w:before="120" w:after="120"/>
              <w:jc w:val="both"/>
              <w:rPr>
                <w:bCs/>
                <w:noProof/>
                <w:lang w:val="af-ZA"/>
              </w:rPr>
            </w:pPr>
            <w:r w:rsidRPr="000508E7">
              <w:rPr>
                <w:b/>
                <w:bCs/>
                <w:noProof/>
                <w:lang w:val="nl-BE"/>
              </w:rPr>
              <w:t>Artikel 1.</w:t>
            </w:r>
            <w:r w:rsidRPr="000508E7">
              <w:rPr>
                <w:bCs/>
                <w:noProof/>
                <w:lang w:val="nl-BE"/>
              </w:rPr>
              <w:t xml:space="preserve"> </w:t>
            </w:r>
            <w:r w:rsidR="00E8292F" w:rsidRPr="00B569AF">
              <w:rPr>
                <w:bCs/>
                <w:noProof/>
                <w:lang w:val="af-ZA"/>
              </w:rPr>
              <w:t xml:space="preserve">Dit besluit </w:t>
            </w:r>
            <w:r w:rsidR="00F62170" w:rsidRPr="00B569AF">
              <w:rPr>
                <w:bCs/>
                <w:noProof/>
                <w:lang w:val="af-ZA"/>
              </w:rPr>
              <w:t xml:space="preserve">voorziet in </w:t>
            </w:r>
            <w:r w:rsidR="00E8292F" w:rsidRPr="00B569AF">
              <w:rPr>
                <w:bCs/>
                <w:noProof/>
                <w:lang w:val="af-ZA"/>
              </w:rPr>
              <w:t xml:space="preserve">de omzetting van artikel </w:t>
            </w:r>
            <w:r>
              <w:rPr>
                <w:bCs/>
                <w:noProof/>
                <w:lang w:val="af-ZA"/>
              </w:rPr>
              <w:t>89</w:t>
            </w:r>
            <w:r w:rsidR="00E8292F" w:rsidRPr="00B569AF">
              <w:rPr>
                <w:bCs/>
                <w:noProof/>
                <w:lang w:val="af-ZA"/>
              </w:rPr>
              <w:t xml:space="preserve"> van Richtlijn</w:t>
            </w:r>
            <w:r>
              <w:rPr>
                <w:bCs/>
                <w:noProof/>
                <w:lang w:val="af-ZA"/>
              </w:rPr>
              <w:t xml:space="preserve"> </w:t>
            </w:r>
            <w:r w:rsidRPr="000508E7">
              <w:rPr>
                <w:bCs/>
                <w:noProof/>
                <w:lang w:val="af-ZA"/>
              </w:rPr>
              <w:t>2013/36/EU van het Europees Parlement en de Raad van 26 juni 2013 betreffende toegang tot het bedrijf van kredietinstellingen en het prudentieel toezicht op kredietinstellingen en beleggingsondernemingen, tot wijziging van Richtlijn 2002/87/EG en tot intrekking van de Richtlijnen 2006/48/EG en 2006/49/EG.</w:t>
            </w:r>
          </w:p>
        </w:tc>
        <w:tc>
          <w:tcPr>
            <w:tcW w:w="4245" w:type="dxa"/>
          </w:tcPr>
          <w:p w:rsidR="00D669B0" w:rsidRPr="00B569AF" w:rsidRDefault="006759AB" w:rsidP="007812BB">
            <w:pPr>
              <w:spacing w:before="120" w:after="120"/>
              <w:jc w:val="both"/>
              <w:rPr>
                <w:noProof/>
                <w:lang w:val="af-ZA"/>
              </w:rPr>
            </w:pPr>
            <w:r w:rsidRPr="00B569AF">
              <w:rPr>
                <w:b/>
                <w:noProof/>
                <w:lang w:val="af-ZA"/>
              </w:rPr>
              <w:t>Article 1</w:t>
            </w:r>
            <w:r w:rsidRPr="00B569AF">
              <w:rPr>
                <w:rFonts w:ascii="Times New Roman Bold" w:hAnsi="Times New Roman Bold"/>
                <w:b/>
                <w:noProof/>
                <w:vertAlign w:val="superscript"/>
                <w:lang w:val="af-ZA"/>
              </w:rPr>
              <w:t>er</w:t>
            </w:r>
            <w:r w:rsidRPr="00B569AF">
              <w:rPr>
                <w:b/>
                <w:noProof/>
                <w:lang w:val="af-ZA"/>
              </w:rPr>
              <w:t xml:space="preserve">. </w:t>
            </w:r>
            <w:r w:rsidR="00C63CD0" w:rsidRPr="00B569AF">
              <w:rPr>
                <w:noProof/>
                <w:lang w:val="af-ZA"/>
              </w:rPr>
              <w:t>Le présent arrêté prévoit la transposition de</w:t>
            </w:r>
            <w:r w:rsidR="007812BB">
              <w:rPr>
                <w:noProof/>
                <w:lang w:val="af-ZA"/>
              </w:rPr>
              <w:t xml:space="preserve"> l’</w:t>
            </w:r>
            <w:r w:rsidR="007812BB">
              <w:rPr>
                <w:bCs/>
                <w:noProof/>
                <w:lang w:val="af-ZA"/>
              </w:rPr>
              <w:t>article 89</w:t>
            </w:r>
            <w:r w:rsidR="00E80504">
              <w:rPr>
                <w:bCs/>
                <w:noProof/>
                <w:lang w:val="af-ZA"/>
              </w:rPr>
              <w:t xml:space="preserve"> </w:t>
            </w:r>
            <w:r w:rsidR="000B7C50">
              <w:rPr>
                <w:bCs/>
                <w:noProof/>
                <w:lang w:val="af-ZA"/>
              </w:rPr>
              <w:t>de la d</w:t>
            </w:r>
            <w:r w:rsidR="000B7C50" w:rsidRPr="00B569AF">
              <w:rPr>
                <w:bCs/>
                <w:noProof/>
                <w:lang w:val="af-ZA"/>
              </w:rPr>
              <w:t xml:space="preserve">irective </w:t>
            </w:r>
            <w:r w:rsidR="000B7C50">
              <w:rPr>
                <w:bCs/>
                <w:noProof/>
                <w:lang w:val="af-ZA"/>
              </w:rPr>
              <w:t>2013</w:t>
            </w:r>
            <w:r w:rsidR="000B7C50" w:rsidRPr="00B569AF">
              <w:rPr>
                <w:bCs/>
                <w:noProof/>
                <w:lang w:val="af-ZA"/>
              </w:rPr>
              <w:t>/</w:t>
            </w:r>
            <w:r w:rsidR="000B7C50">
              <w:rPr>
                <w:bCs/>
                <w:noProof/>
                <w:lang w:val="af-ZA"/>
              </w:rPr>
              <w:t>36</w:t>
            </w:r>
            <w:r w:rsidR="000B7C50" w:rsidRPr="00B569AF">
              <w:rPr>
                <w:bCs/>
                <w:noProof/>
                <w:lang w:val="af-ZA"/>
              </w:rPr>
              <w:t>/</w:t>
            </w:r>
            <w:r w:rsidR="000B7C50">
              <w:rPr>
                <w:bCs/>
                <w:noProof/>
                <w:lang w:val="af-ZA"/>
              </w:rPr>
              <w:t>UE</w:t>
            </w:r>
            <w:r w:rsidR="000B7C50" w:rsidRPr="00B569AF">
              <w:rPr>
                <w:bCs/>
                <w:noProof/>
                <w:lang w:val="af-ZA"/>
              </w:rPr>
              <w:t xml:space="preserve"> du Parlement européen et du Conseil du </w:t>
            </w:r>
            <w:r w:rsidR="000B7C50">
              <w:rPr>
                <w:bCs/>
                <w:noProof/>
                <w:lang w:val="af-ZA"/>
              </w:rPr>
              <w:t>26</w:t>
            </w:r>
            <w:r w:rsidR="000B7C50" w:rsidRPr="00B569AF">
              <w:rPr>
                <w:bCs/>
                <w:noProof/>
                <w:lang w:val="af-ZA"/>
              </w:rPr>
              <w:t xml:space="preserve"> juin </w:t>
            </w:r>
            <w:r w:rsidR="000B7C50">
              <w:rPr>
                <w:bCs/>
                <w:noProof/>
                <w:lang w:val="af-ZA"/>
              </w:rPr>
              <w:t>2013</w:t>
            </w:r>
            <w:r w:rsidR="000B7C50" w:rsidRPr="00B569AF">
              <w:rPr>
                <w:noProof/>
                <w:lang w:val="af-ZA"/>
              </w:rPr>
              <w:t xml:space="preserve"> </w:t>
            </w:r>
            <w:r w:rsidR="000B7C50">
              <w:rPr>
                <w:noProof/>
                <w:lang w:val="af-ZA"/>
              </w:rPr>
              <w:t>concernant l’accès à l’activité des établissements de crédit et la surveillance prudentielle des établissements de crédit et des entreprises d’investissement, modifiant la directive 2002/87/CE et abrogeant les directives 2006/48/CE et 2006/49/CE</w:t>
            </w:r>
            <w:r w:rsidR="00DB2A35">
              <w:rPr>
                <w:noProof/>
                <w:lang w:val="af-ZA"/>
              </w:rPr>
              <w:t>.</w:t>
            </w:r>
          </w:p>
        </w:tc>
      </w:tr>
      <w:tr w:rsidR="00B1272C" w:rsidRPr="00305C5B" w:rsidTr="00C221B4">
        <w:tc>
          <w:tcPr>
            <w:tcW w:w="4503" w:type="dxa"/>
          </w:tcPr>
          <w:p w:rsidR="00B1272C" w:rsidRPr="00642E2C" w:rsidRDefault="005A7D4F" w:rsidP="006D7DC6">
            <w:pPr>
              <w:spacing w:before="120" w:after="120"/>
              <w:jc w:val="both"/>
              <w:rPr>
                <w:i/>
                <w:noProof/>
                <w:lang w:val="af-ZA"/>
              </w:rPr>
            </w:pPr>
            <w:r w:rsidRPr="00642E2C">
              <w:rPr>
                <w:i/>
                <w:noProof/>
                <w:lang w:val="af-ZA"/>
              </w:rPr>
              <w:t>Hoofdstuk I</w:t>
            </w:r>
            <w:r w:rsidR="005C4398">
              <w:rPr>
                <w:i/>
                <w:noProof/>
                <w:lang w:val="af-ZA"/>
              </w:rPr>
              <w:t>.</w:t>
            </w:r>
            <w:r w:rsidRPr="00642E2C">
              <w:rPr>
                <w:i/>
                <w:noProof/>
                <w:lang w:val="af-ZA"/>
              </w:rPr>
              <w:t xml:space="preserve"> – Wijziging van het koninklijk besluit van 23 september 1992</w:t>
            </w:r>
            <w:r w:rsidRPr="00642E2C">
              <w:rPr>
                <w:bCs/>
                <w:i/>
                <w:noProof/>
                <w:lang w:val="af-ZA"/>
              </w:rPr>
              <w:t xml:space="preserve"> op de jaarrekening van de kredietinstellingen, de beleggingsondernemingen en de beheervennootschappen van instellingen voor collectieve belegging</w:t>
            </w:r>
            <w:r>
              <w:rPr>
                <w:bCs/>
                <w:i/>
                <w:noProof/>
                <w:lang w:val="af-ZA"/>
              </w:rPr>
              <w:t>.</w:t>
            </w:r>
          </w:p>
        </w:tc>
        <w:tc>
          <w:tcPr>
            <w:tcW w:w="4245" w:type="dxa"/>
          </w:tcPr>
          <w:p w:rsidR="00B1272C" w:rsidRPr="00642E2C" w:rsidRDefault="00B1272C" w:rsidP="00DB2A35">
            <w:pPr>
              <w:spacing w:before="120" w:after="120"/>
              <w:jc w:val="both"/>
              <w:rPr>
                <w:i/>
                <w:noProof/>
                <w:lang w:val="af-ZA"/>
              </w:rPr>
            </w:pPr>
            <w:r w:rsidRPr="00642E2C">
              <w:rPr>
                <w:i/>
                <w:noProof/>
                <w:lang w:val="af-ZA"/>
              </w:rPr>
              <w:t xml:space="preserve">Chapitre Ier. – Modification de </w:t>
            </w:r>
            <w:r w:rsidRPr="00642E2C">
              <w:rPr>
                <w:i/>
                <w:noProof/>
                <w:lang w:val="fr-FR"/>
              </w:rPr>
              <w:t xml:space="preserve">l’arrêté </w:t>
            </w:r>
            <w:r w:rsidRPr="00642E2C">
              <w:rPr>
                <w:i/>
                <w:noProof/>
                <w:lang w:val="af-ZA"/>
              </w:rPr>
              <w:t xml:space="preserve">royal du 23 septembre 1992 relatif aux comptes annuels des établissements de crédit, des entreprises d’investissement et des sociétés de gestion d’organismes de placement collectif </w:t>
            </w:r>
          </w:p>
        </w:tc>
      </w:tr>
      <w:tr w:rsidR="00F62CA4" w:rsidRPr="00305C5B" w:rsidTr="00C221B4">
        <w:tc>
          <w:tcPr>
            <w:tcW w:w="4503" w:type="dxa"/>
          </w:tcPr>
          <w:p w:rsidR="00F62CA4" w:rsidRDefault="006759AB" w:rsidP="006D7DC6">
            <w:pPr>
              <w:spacing w:before="120" w:after="120"/>
              <w:jc w:val="both"/>
              <w:rPr>
                <w:bCs/>
                <w:noProof/>
                <w:lang w:val="af-ZA"/>
              </w:rPr>
            </w:pPr>
            <w:r w:rsidRPr="00B569AF">
              <w:rPr>
                <w:b/>
                <w:noProof/>
                <w:lang w:val="af-ZA"/>
              </w:rPr>
              <w:t>Art. 2.</w:t>
            </w:r>
            <w:r w:rsidR="00EB6BFB">
              <w:rPr>
                <w:b/>
                <w:noProof/>
                <w:lang w:val="af-ZA"/>
              </w:rPr>
              <w:t xml:space="preserve"> </w:t>
            </w:r>
            <w:r w:rsidR="00EB6BFB" w:rsidRPr="00EB6BFB">
              <w:rPr>
                <w:noProof/>
                <w:lang w:val="af-ZA"/>
              </w:rPr>
              <w:t xml:space="preserve">In de bijlage bij het koninklijk besluit van 23 september 1992 </w:t>
            </w:r>
            <w:r w:rsidR="00EB6BFB" w:rsidRPr="00EB6BFB">
              <w:rPr>
                <w:bCs/>
                <w:noProof/>
                <w:lang w:val="af-ZA"/>
              </w:rPr>
              <w:t xml:space="preserve">op de jaarrekening van de kredietinstellingen, de beleggingsondernemingen en de </w:t>
            </w:r>
            <w:r w:rsidR="00EB6BFB" w:rsidRPr="00EB6BFB">
              <w:rPr>
                <w:bCs/>
                <w:noProof/>
                <w:lang w:val="af-ZA"/>
              </w:rPr>
              <w:lastRenderedPageBreak/>
              <w:t>beheervennootschappen van instellingen voor collectieve belegging</w:t>
            </w:r>
            <w:r w:rsidR="00EB6BFB">
              <w:rPr>
                <w:bCs/>
                <w:noProof/>
                <w:lang w:val="af-ZA"/>
              </w:rPr>
              <w:t>, laatst</w:t>
            </w:r>
            <w:r w:rsidR="00574A5C">
              <w:rPr>
                <w:bCs/>
                <w:noProof/>
                <w:lang w:val="af-ZA"/>
              </w:rPr>
              <w:t>elijk</w:t>
            </w:r>
            <w:r w:rsidR="00EB6BFB">
              <w:rPr>
                <w:bCs/>
                <w:noProof/>
                <w:lang w:val="af-ZA"/>
              </w:rPr>
              <w:t xml:space="preserve"> gewijzigd door het koninklijk besluit van 28 februari 2014, wordt een staat XXXI ingevoegd, </w:t>
            </w:r>
            <w:r w:rsidR="00C25CFF">
              <w:rPr>
                <w:bCs/>
                <w:noProof/>
                <w:lang w:val="af-ZA"/>
              </w:rPr>
              <w:t>luidende</w:t>
            </w:r>
            <w:r w:rsidR="00EB6BFB">
              <w:rPr>
                <w:bCs/>
                <w:noProof/>
                <w:lang w:val="af-ZA"/>
              </w:rPr>
              <w:t>:</w:t>
            </w:r>
          </w:p>
          <w:p w:rsidR="00EB6BFB" w:rsidRPr="00B569AF" w:rsidRDefault="00EB6BFB" w:rsidP="00EB6BFB">
            <w:pPr>
              <w:spacing w:before="120" w:after="120"/>
              <w:jc w:val="both"/>
              <w:rPr>
                <w:bCs/>
                <w:noProof/>
                <w:lang w:val="af-ZA"/>
              </w:rPr>
            </w:pPr>
            <w:r w:rsidRPr="00642E2C">
              <w:rPr>
                <w:bCs/>
                <w:noProof/>
                <w:lang w:val="nl-BE"/>
              </w:rPr>
              <w:t>« XXXI. Informatie uitgesplitst naar land :</w:t>
            </w:r>
          </w:p>
        </w:tc>
        <w:tc>
          <w:tcPr>
            <w:tcW w:w="4245" w:type="dxa"/>
          </w:tcPr>
          <w:p w:rsidR="00C36882" w:rsidRDefault="006759AB" w:rsidP="00DB2A35">
            <w:pPr>
              <w:spacing w:before="120" w:after="120"/>
              <w:jc w:val="both"/>
              <w:rPr>
                <w:noProof/>
                <w:lang w:val="fr-FR"/>
              </w:rPr>
            </w:pPr>
            <w:r w:rsidRPr="00B569AF">
              <w:rPr>
                <w:b/>
                <w:noProof/>
                <w:lang w:val="af-ZA"/>
              </w:rPr>
              <w:lastRenderedPageBreak/>
              <w:t xml:space="preserve">Art. 2. </w:t>
            </w:r>
            <w:r w:rsidR="00DB2A35" w:rsidRPr="00DF3723">
              <w:rPr>
                <w:noProof/>
                <w:lang w:val="fr-FR"/>
              </w:rPr>
              <w:t xml:space="preserve">Dans l’Annexe </w:t>
            </w:r>
            <w:r w:rsidR="00CC37AD">
              <w:rPr>
                <w:noProof/>
                <w:lang w:val="fr-FR"/>
              </w:rPr>
              <w:t>de</w:t>
            </w:r>
            <w:r w:rsidR="00DB2A35" w:rsidRPr="00DF3723">
              <w:rPr>
                <w:noProof/>
                <w:lang w:val="fr-FR"/>
              </w:rPr>
              <w:t xml:space="preserve"> l’arrêté royal du 23 septembre 1992 relatif aux comptes annuels des établissements de crédit, des entreprises d’investissement et des </w:t>
            </w:r>
            <w:r w:rsidR="00DB2A35" w:rsidRPr="00DF3723">
              <w:rPr>
                <w:noProof/>
                <w:lang w:val="fr-FR"/>
              </w:rPr>
              <w:lastRenderedPageBreak/>
              <w:t>sociétés de gestion d’organismes de</w:t>
            </w:r>
            <w:r w:rsidR="00DB2A35">
              <w:rPr>
                <w:noProof/>
                <w:lang w:val="fr-FR"/>
              </w:rPr>
              <w:t xml:space="preserve"> placement collectif, modifiée en dernier lieu par l’arrêté royal du 28 février 2014 </w:t>
            </w:r>
            <w:r w:rsidR="00DB2A35" w:rsidRPr="00DF3723">
              <w:rPr>
                <w:noProof/>
                <w:lang w:val="fr-FR"/>
              </w:rPr>
              <w:t xml:space="preserve">il est inséré un état </w:t>
            </w:r>
            <w:r w:rsidR="00E20BC0">
              <w:rPr>
                <w:noProof/>
                <w:lang w:val="fr-FR"/>
              </w:rPr>
              <w:t xml:space="preserve">XXXI </w:t>
            </w:r>
            <w:r w:rsidR="00CC37AD">
              <w:rPr>
                <w:noProof/>
                <w:lang w:val="fr-FR"/>
              </w:rPr>
              <w:t>rédigé</w:t>
            </w:r>
            <w:r w:rsidR="00E20BC0">
              <w:rPr>
                <w:noProof/>
                <w:lang w:val="fr-FR"/>
              </w:rPr>
              <w:t xml:space="preserve"> comme suit :</w:t>
            </w:r>
          </w:p>
          <w:p w:rsidR="00E20BC0" w:rsidRPr="00B569AF" w:rsidRDefault="00E20BC0" w:rsidP="00DB2A35">
            <w:pPr>
              <w:spacing w:before="120" w:after="120"/>
              <w:jc w:val="both"/>
              <w:rPr>
                <w:noProof/>
                <w:lang w:val="af-ZA"/>
              </w:rPr>
            </w:pPr>
            <w:r>
              <w:rPr>
                <w:noProof/>
                <w:lang w:val="fr-FR"/>
              </w:rPr>
              <w:t>« XXXI. Information pays par pays :</w:t>
            </w:r>
            <w:r w:rsidR="007812BB">
              <w:rPr>
                <w:noProof/>
                <w:lang w:val="fr-FR"/>
              </w:rPr>
              <w:t> </w:t>
            </w:r>
          </w:p>
        </w:tc>
      </w:tr>
      <w:tr w:rsidR="00C36882" w:rsidRPr="00305C5B" w:rsidTr="00C221B4">
        <w:tc>
          <w:tcPr>
            <w:tcW w:w="4503" w:type="dxa"/>
          </w:tcPr>
          <w:p w:rsidR="00C36882" w:rsidRPr="00642E2C" w:rsidRDefault="008D5393" w:rsidP="005A7D4F">
            <w:pPr>
              <w:spacing w:before="120" w:after="120"/>
              <w:jc w:val="both"/>
              <w:rPr>
                <w:bCs/>
                <w:noProof/>
                <w:lang w:val="nl-BE"/>
              </w:rPr>
            </w:pPr>
            <w:r w:rsidRPr="00642E2C">
              <w:rPr>
                <w:bCs/>
                <w:noProof/>
                <w:lang w:val="nl-BE"/>
              </w:rPr>
              <w:lastRenderedPageBreak/>
              <w:t xml:space="preserve">De </w:t>
            </w:r>
            <w:r w:rsidR="005A7D4F">
              <w:rPr>
                <w:bCs/>
                <w:noProof/>
                <w:lang w:val="nl-BE"/>
              </w:rPr>
              <w:t xml:space="preserve">hierna bedoelde </w:t>
            </w:r>
            <w:r w:rsidR="00EB6BFB" w:rsidRPr="00642E2C">
              <w:rPr>
                <w:bCs/>
                <w:noProof/>
                <w:lang w:val="nl-BE"/>
              </w:rPr>
              <w:t xml:space="preserve">instellingen nemen in </w:t>
            </w:r>
            <w:r w:rsidR="000E2C9C" w:rsidRPr="00642E2C">
              <w:rPr>
                <w:bCs/>
                <w:noProof/>
                <w:lang w:val="nl-BE"/>
              </w:rPr>
              <w:t xml:space="preserve">de </w:t>
            </w:r>
            <w:r w:rsidR="00EB6BFB" w:rsidRPr="00642E2C">
              <w:rPr>
                <w:bCs/>
                <w:noProof/>
                <w:lang w:val="nl-BE"/>
              </w:rPr>
              <w:t>staat nr. XXXI de volgende informatie op, voor het afgelopen boekjaar, uitgesplitst naar lidstaat en naar derde land waarin ze een vestiging hebben :</w:t>
            </w:r>
            <w:r w:rsidR="00037B72" w:rsidRPr="00642E2C">
              <w:rPr>
                <w:bCs/>
                <w:noProof/>
                <w:lang w:val="nl-BE"/>
              </w:rPr>
              <w:t xml:space="preserve"> </w:t>
            </w:r>
          </w:p>
        </w:tc>
        <w:tc>
          <w:tcPr>
            <w:tcW w:w="4245" w:type="dxa"/>
          </w:tcPr>
          <w:p w:rsidR="00C36882" w:rsidRPr="00E20BC0" w:rsidRDefault="00506C81" w:rsidP="0009138B">
            <w:pPr>
              <w:spacing w:before="120" w:after="120"/>
              <w:jc w:val="both"/>
              <w:rPr>
                <w:noProof/>
                <w:lang w:val="fr-FR"/>
              </w:rPr>
            </w:pPr>
            <w:r>
              <w:rPr>
                <w:noProof/>
                <w:lang w:val="fr-FR"/>
              </w:rPr>
              <w:t xml:space="preserve">Les </w:t>
            </w:r>
            <w:r w:rsidR="005F7769">
              <w:rPr>
                <w:noProof/>
                <w:lang w:val="fr-FR"/>
              </w:rPr>
              <w:t>é</w:t>
            </w:r>
            <w:r w:rsidR="002B0E83">
              <w:rPr>
                <w:noProof/>
                <w:lang w:val="fr-FR"/>
              </w:rPr>
              <w:t>tablissement</w:t>
            </w:r>
            <w:r>
              <w:rPr>
                <w:noProof/>
                <w:lang w:val="fr-FR"/>
              </w:rPr>
              <w:t>s</w:t>
            </w:r>
            <w:r w:rsidR="00D17942">
              <w:rPr>
                <w:noProof/>
                <w:lang w:val="fr-FR"/>
              </w:rPr>
              <w:t xml:space="preserve"> visés ci-après</w:t>
            </w:r>
            <w:r>
              <w:rPr>
                <w:noProof/>
                <w:lang w:val="fr-FR"/>
              </w:rPr>
              <w:t xml:space="preserve"> </w:t>
            </w:r>
            <w:r w:rsidR="007812BB">
              <w:rPr>
                <w:noProof/>
                <w:lang w:val="fr-FR"/>
              </w:rPr>
              <w:t xml:space="preserve">reprennent dans l’état n° XXXI </w:t>
            </w:r>
            <w:r>
              <w:rPr>
                <w:noProof/>
                <w:lang w:val="fr-FR"/>
              </w:rPr>
              <w:t>l</w:t>
            </w:r>
            <w:r w:rsidR="003C6F77">
              <w:rPr>
                <w:noProof/>
                <w:lang w:val="fr-FR"/>
              </w:rPr>
              <w:t xml:space="preserve">es informations suivantes, pour l’exercice financier </w:t>
            </w:r>
            <w:r>
              <w:rPr>
                <w:noProof/>
                <w:lang w:val="fr-FR"/>
              </w:rPr>
              <w:t>écoulé</w:t>
            </w:r>
            <w:r w:rsidR="003C6F77">
              <w:rPr>
                <w:noProof/>
                <w:lang w:val="fr-FR"/>
              </w:rPr>
              <w:t xml:space="preserve">, en ventilant ces informations par </w:t>
            </w:r>
            <w:r w:rsidR="0009138B">
              <w:rPr>
                <w:noProof/>
                <w:lang w:val="fr-FR"/>
              </w:rPr>
              <w:t>É</w:t>
            </w:r>
            <w:r w:rsidR="003C6F77">
              <w:rPr>
                <w:noProof/>
                <w:lang w:val="fr-FR"/>
              </w:rPr>
              <w:t>tat membre et par p</w:t>
            </w:r>
            <w:r w:rsidR="002B0E83">
              <w:rPr>
                <w:noProof/>
                <w:lang w:val="fr-FR"/>
              </w:rPr>
              <w:t>ays tiers dans lesquels il</w:t>
            </w:r>
            <w:r>
              <w:rPr>
                <w:noProof/>
                <w:lang w:val="fr-FR"/>
              </w:rPr>
              <w:t>s</w:t>
            </w:r>
            <w:r w:rsidR="002B0E83">
              <w:rPr>
                <w:noProof/>
                <w:lang w:val="fr-FR"/>
              </w:rPr>
              <w:t xml:space="preserve"> </w:t>
            </w:r>
            <w:r>
              <w:rPr>
                <w:noProof/>
                <w:lang w:val="fr-FR"/>
              </w:rPr>
              <w:t>sont</w:t>
            </w:r>
            <w:r w:rsidR="003C6F77">
              <w:rPr>
                <w:noProof/>
                <w:lang w:val="fr-FR"/>
              </w:rPr>
              <w:t xml:space="preserve"> établi</w:t>
            </w:r>
            <w:r>
              <w:rPr>
                <w:noProof/>
                <w:lang w:val="fr-FR"/>
              </w:rPr>
              <w:t>s</w:t>
            </w:r>
            <w:r w:rsidR="003C6F77">
              <w:rPr>
                <w:noProof/>
                <w:lang w:val="fr-FR"/>
              </w:rPr>
              <w:t> :</w:t>
            </w:r>
          </w:p>
        </w:tc>
      </w:tr>
      <w:tr w:rsidR="00226A8F" w:rsidRPr="00305C5B" w:rsidTr="00C221B4">
        <w:tc>
          <w:tcPr>
            <w:tcW w:w="4503" w:type="dxa"/>
          </w:tcPr>
          <w:p w:rsidR="00226A8F" w:rsidRPr="00642E2C" w:rsidRDefault="00B244E6" w:rsidP="00642E2C">
            <w:pPr>
              <w:spacing w:before="120" w:after="120"/>
              <w:ind w:left="360"/>
              <w:jc w:val="both"/>
              <w:rPr>
                <w:noProof/>
                <w:lang w:val="nl-BE"/>
              </w:rPr>
            </w:pPr>
            <w:r>
              <w:rPr>
                <w:noProof/>
                <w:lang w:val="nl-BE"/>
              </w:rPr>
              <w:t xml:space="preserve">A. </w:t>
            </w:r>
            <w:r w:rsidR="00226A8F" w:rsidRPr="00642E2C">
              <w:rPr>
                <w:noProof/>
                <w:lang w:val="nl-BE"/>
              </w:rPr>
              <w:t>Hun benaming(en), de aard van hun activiteiten en hun geografische locatie</w:t>
            </w:r>
            <w:r w:rsidR="005A7D4F">
              <w:rPr>
                <w:noProof/>
                <w:lang w:val="nl-BE"/>
              </w:rPr>
              <w:t xml:space="preserve"> (betrokken land)</w:t>
            </w:r>
            <w:r w:rsidR="00226A8F" w:rsidRPr="00642E2C">
              <w:rPr>
                <w:noProof/>
                <w:lang w:val="nl-BE"/>
              </w:rPr>
              <w:t> ;</w:t>
            </w:r>
          </w:p>
        </w:tc>
        <w:tc>
          <w:tcPr>
            <w:tcW w:w="4245" w:type="dxa"/>
          </w:tcPr>
          <w:p w:rsidR="00226A8F" w:rsidRPr="00E20BC0" w:rsidRDefault="00226A8F" w:rsidP="00506C81">
            <w:pPr>
              <w:numPr>
                <w:ilvl w:val="0"/>
                <w:numId w:val="10"/>
              </w:numPr>
              <w:spacing w:before="120" w:after="120"/>
              <w:jc w:val="both"/>
              <w:rPr>
                <w:noProof/>
                <w:lang w:val="fr-FR"/>
              </w:rPr>
            </w:pPr>
            <w:r>
              <w:rPr>
                <w:noProof/>
                <w:lang w:val="fr-FR"/>
              </w:rPr>
              <w:t>Leur(s) dénomination(s), la nature de leurs acti</w:t>
            </w:r>
            <w:r w:rsidR="00797CE6">
              <w:rPr>
                <w:noProof/>
                <w:lang w:val="fr-FR"/>
              </w:rPr>
              <w:t>vi</w:t>
            </w:r>
            <w:r>
              <w:rPr>
                <w:noProof/>
                <w:lang w:val="fr-FR"/>
              </w:rPr>
              <w:t>tés et leur localisation géographique </w:t>
            </w:r>
            <w:r w:rsidR="00797CE6">
              <w:rPr>
                <w:noProof/>
                <w:lang w:val="fr-FR"/>
              </w:rPr>
              <w:t>(pays concerné)</w:t>
            </w:r>
            <w:r>
              <w:rPr>
                <w:noProof/>
                <w:lang w:val="fr-FR"/>
              </w:rPr>
              <w:t>;</w:t>
            </w:r>
          </w:p>
        </w:tc>
      </w:tr>
      <w:tr w:rsidR="00226A8F" w:rsidRPr="00B244E6" w:rsidTr="00C221B4">
        <w:tc>
          <w:tcPr>
            <w:tcW w:w="4503" w:type="dxa"/>
          </w:tcPr>
          <w:p w:rsidR="00226A8F" w:rsidRPr="00B244E6" w:rsidRDefault="00B244E6" w:rsidP="00642E2C">
            <w:pPr>
              <w:spacing w:before="120" w:after="120"/>
              <w:ind w:left="360"/>
              <w:jc w:val="both"/>
              <w:rPr>
                <w:noProof/>
                <w:lang w:val="fr-FR"/>
              </w:rPr>
            </w:pPr>
            <w:r>
              <w:rPr>
                <w:noProof/>
                <w:lang w:val="fr-FR"/>
              </w:rPr>
              <w:t xml:space="preserve">B. </w:t>
            </w:r>
            <w:r w:rsidR="007666AB" w:rsidRPr="00B244E6">
              <w:rPr>
                <w:noProof/>
                <w:lang w:val="fr-FR"/>
              </w:rPr>
              <w:t>hun omzet</w:t>
            </w:r>
            <w:r w:rsidR="00226A8F" w:rsidRPr="00B244E6">
              <w:rPr>
                <w:noProof/>
                <w:lang w:val="fr-FR"/>
              </w:rPr>
              <w:t> ;</w:t>
            </w:r>
          </w:p>
        </w:tc>
        <w:tc>
          <w:tcPr>
            <w:tcW w:w="4245" w:type="dxa"/>
          </w:tcPr>
          <w:p w:rsidR="00226A8F" w:rsidRDefault="00226A8F" w:rsidP="005F7769">
            <w:pPr>
              <w:numPr>
                <w:ilvl w:val="0"/>
                <w:numId w:val="10"/>
              </w:numPr>
              <w:spacing w:before="120" w:after="120"/>
              <w:jc w:val="both"/>
              <w:rPr>
                <w:noProof/>
                <w:lang w:val="fr-FR"/>
              </w:rPr>
            </w:pPr>
            <w:r>
              <w:rPr>
                <w:noProof/>
                <w:lang w:val="fr-FR"/>
              </w:rPr>
              <w:t>leur chiffre d’affaires ;</w:t>
            </w:r>
          </w:p>
        </w:tc>
      </w:tr>
      <w:tr w:rsidR="00226A8F" w:rsidRPr="00305C5B" w:rsidTr="00C221B4">
        <w:tc>
          <w:tcPr>
            <w:tcW w:w="4503" w:type="dxa"/>
          </w:tcPr>
          <w:p w:rsidR="00226A8F" w:rsidRPr="00642E2C" w:rsidRDefault="00B244E6" w:rsidP="00642E2C">
            <w:pPr>
              <w:spacing w:before="120" w:after="120"/>
              <w:ind w:left="360"/>
              <w:jc w:val="both"/>
              <w:rPr>
                <w:noProof/>
                <w:lang w:val="nl-BE"/>
              </w:rPr>
            </w:pPr>
            <w:r w:rsidRPr="00642E2C">
              <w:rPr>
                <w:noProof/>
                <w:lang w:val="nl-BE"/>
              </w:rPr>
              <w:t xml:space="preserve">C. </w:t>
            </w:r>
            <w:r w:rsidR="007666AB" w:rsidRPr="00B244E6">
              <w:rPr>
                <w:noProof/>
                <w:lang w:val="nl-BE"/>
              </w:rPr>
              <w:t>hun aantal werknemers in voltijdse equivalenten</w:t>
            </w:r>
            <w:r w:rsidR="00226A8F" w:rsidRPr="00642E2C">
              <w:rPr>
                <w:noProof/>
                <w:lang w:val="nl-BE"/>
              </w:rPr>
              <w:t> ;</w:t>
            </w:r>
          </w:p>
        </w:tc>
        <w:tc>
          <w:tcPr>
            <w:tcW w:w="4245" w:type="dxa"/>
          </w:tcPr>
          <w:p w:rsidR="00226A8F" w:rsidRDefault="00226A8F" w:rsidP="005160C2">
            <w:pPr>
              <w:numPr>
                <w:ilvl w:val="0"/>
                <w:numId w:val="10"/>
              </w:numPr>
              <w:spacing w:before="120" w:after="120"/>
              <w:jc w:val="both"/>
              <w:rPr>
                <w:noProof/>
                <w:lang w:val="fr-FR"/>
              </w:rPr>
            </w:pPr>
            <w:r>
              <w:rPr>
                <w:noProof/>
                <w:lang w:val="fr-FR"/>
              </w:rPr>
              <w:t>leur nombre de salariés sur une base équivalent temps plein ;</w:t>
            </w:r>
          </w:p>
        </w:tc>
      </w:tr>
      <w:tr w:rsidR="00226A8F" w:rsidRPr="00305C5B" w:rsidTr="00C221B4">
        <w:tc>
          <w:tcPr>
            <w:tcW w:w="4503" w:type="dxa"/>
          </w:tcPr>
          <w:p w:rsidR="00226A8F" w:rsidRPr="00642E2C" w:rsidRDefault="00B244E6" w:rsidP="00642E2C">
            <w:pPr>
              <w:spacing w:before="120" w:after="120"/>
              <w:ind w:left="360"/>
              <w:jc w:val="both"/>
              <w:rPr>
                <w:noProof/>
                <w:lang w:val="nl-BE"/>
              </w:rPr>
            </w:pPr>
            <w:r w:rsidRPr="005160C2">
              <w:rPr>
                <w:noProof/>
                <w:lang w:val="nl-BE"/>
              </w:rPr>
              <w:t xml:space="preserve">D. </w:t>
            </w:r>
            <w:r w:rsidR="007666AB" w:rsidRPr="00642E2C">
              <w:rPr>
                <w:noProof/>
                <w:lang w:val="nl-BE"/>
              </w:rPr>
              <w:t xml:space="preserve">hun winst </w:t>
            </w:r>
            <w:r w:rsidR="00226A8F" w:rsidRPr="00642E2C">
              <w:rPr>
                <w:noProof/>
                <w:lang w:val="nl-BE"/>
              </w:rPr>
              <w:t>(</w:t>
            </w:r>
            <w:r w:rsidR="007666AB" w:rsidRPr="00642E2C">
              <w:rPr>
                <w:noProof/>
                <w:lang w:val="nl-BE"/>
              </w:rPr>
              <w:t>verlies</w:t>
            </w:r>
            <w:r w:rsidR="00226A8F" w:rsidRPr="00642E2C">
              <w:rPr>
                <w:noProof/>
                <w:lang w:val="nl-BE"/>
              </w:rPr>
              <w:t xml:space="preserve">) </w:t>
            </w:r>
            <w:r w:rsidR="007666AB" w:rsidRPr="00642E2C">
              <w:rPr>
                <w:noProof/>
                <w:lang w:val="nl-BE"/>
              </w:rPr>
              <w:t>vóór belastingen</w:t>
            </w:r>
            <w:r w:rsidR="00226A8F" w:rsidRPr="00642E2C">
              <w:rPr>
                <w:noProof/>
                <w:lang w:val="nl-BE"/>
              </w:rPr>
              <w:t> ;</w:t>
            </w:r>
          </w:p>
        </w:tc>
        <w:tc>
          <w:tcPr>
            <w:tcW w:w="4245" w:type="dxa"/>
          </w:tcPr>
          <w:p w:rsidR="00226A8F" w:rsidRDefault="00226A8F">
            <w:pPr>
              <w:numPr>
                <w:ilvl w:val="0"/>
                <w:numId w:val="10"/>
              </w:numPr>
              <w:spacing w:before="120" w:after="120"/>
              <w:jc w:val="both"/>
              <w:rPr>
                <w:noProof/>
                <w:lang w:val="fr-FR"/>
              </w:rPr>
            </w:pPr>
            <w:r>
              <w:rPr>
                <w:noProof/>
                <w:lang w:val="fr-FR"/>
              </w:rPr>
              <w:t>leur bénéfice (perte) avant impôt ;</w:t>
            </w:r>
          </w:p>
        </w:tc>
      </w:tr>
      <w:tr w:rsidR="00226A8F" w:rsidRPr="00305C5B" w:rsidTr="00C221B4">
        <w:tc>
          <w:tcPr>
            <w:tcW w:w="4503" w:type="dxa"/>
          </w:tcPr>
          <w:p w:rsidR="00226A8F" w:rsidRPr="00642E2C" w:rsidRDefault="00B244E6" w:rsidP="00642E2C">
            <w:pPr>
              <w:spacing w:before="120" w:after="120"/>
              <w:ind w:left="360"/>
              <w:jc w:val="both"/>
              <w:rPr>
                <w:noProof/>
                <w:lang w:val="nl-BE"/>
              </w:rPr>
            </w:pPr>
            <w:r w:rsidRPr="00642E2C">
              <w:rPr>
                <w:noProof/>
                <w:lang w:val="nl-BE"/>
              </w:rPr>
              <w:t xml:space="preserve">E. </w:t>
            </w:r>
            <w:r w:rsidR="007666AB" w:rsidRPr="00642E2C">
              <w:rPr>
                <w:noProof/>
                <w:lang w:val="nl-BE"/>
              </w:rPr>
              <w:t>de belasting</w:t>
            </w:r>
            <w:r w:rsidR="00212919">
              <w:rPr>
                <w:noProof/>
                <w:lang w:val="nl-BE"/>
              </w:rPr>
              <w:t>en</w:t>
            </w:r>
            <w:r w:rsidR="000E2C9C" w:rsidRPr="00642E2C">
              <w:rPr>
                <w:noProof/>
                <w:lang w:val="nl-BE"/>
              </w:rPr>
              <w:t xml:space="preserve"> </w:t>
            </w:r>
            <w:r w:rsidR="00212919">
              <w:rPr>
                <w:noProof/>
                <w:lang w:val="nl-BE"/>
              </w:rPr>
              <w:t>op het resultaat</w:t>
            </w:r>
            <w:r w:rsidR="00226A8F" w:rsidRPr="00642E2C">
              <w:rPr>
                <w:noProof/>
                <w:lang w:val="nl-BE"/>
              </w:rPr>
              <w:t> ;</w:t>
            </w:r>
          </w:p>
        </w:tc>
        <w:tc>
          <w:tcPr>
            <w:tcW w:w="4245" w:type="dxa"/>
          </w:tcPr>
          <w:p w:rsidR="00226A8F" w:rsidRDefault="00226A8F">
            <w:pPr>
              <w:numPr>
                <w:ilvl w:val="0"/>
                <w:numId w:val="10"/>
              </w:numPr>
              <w:spacing w:before="120" w:after="120"/>
              <w:jc w:val="both"/>
              <w:rPr>
                <w:noProof/>
                <w:lang w:val="fr-FR"/>
              </w:rPr>
            </w:pPr>
            <w:r>
              <w:rPr>
                <w:noProof/>
                <w:lang w:val="fr-FR"/>
              </w:rPr>
              <w:t>les impôts sur le résultat ;</w:t>
            </w:r>
          </w:p>
        </w:tc>
      </w:tr>
      <w:tr w:rsidR="00226A8F" w:rsidRPr="00B244E6" w:rsidTr="00C221B4">
        <w:tc>
          <w:tcPr>
            <w:tcW w:w="4503" w:type="dxa"/>
          </w:tcPr>
          <w:p w:rsidR="00226A8F" w:rsidRPr="00642E2C" w:rsidRDefault="00B244E6" w:rsidP="00642E2C">
            <w:pPr>
              <w:spacing w:before="120" w:after="120"/>
              <w:ind w:left="360"/>
              <w:jc w:val="both"/>
              <w:rPr>
                <w:noProof/>
                <w:lang w:val="nl-BE"/>
              </w:rPr>
            </w:pPr>
            <w:r w:rsidRPr="00642E2C">
              <w:rPr>
                <w:noProof/>
                <w:lang w:val="nl-BE"/>
              </w:rPr>
              <w:t xml:space="preserve">F. </w:t>
            </w:r>
            <w:r w:rsidR="007666AB" w:rsidRPr="00642E2C">
              <w:rPr>
                <w:noProof/>
                <w:lang w:val="nl-BE"/>
              </w:rPr>
              <w:t>de ontvangen overheidssubsidies</w:t>
            </w:r>
            <w:r w:rsidR="00226A8F" w:rsidRPr="00642E2C">
              <w:rPr>
                <w:noProof/>
                <w:lang w:val="nl-BE"/>
              </w:rPr>
              <w:t>. </w:t>
            </w:r>
          </w:p>
        </w:tc>
        <w:tc>
          <w:tcPr>
            <w:tcW w:w="4245" w:type="dxa"/>
          </w:tcPr>
          <w:p w:rsidR="00226A8F" w:rsidRPr="00642E2C" w:rsidRDefault="00226A8F" w:rsidP="003C6F77">
            <w:pPr>
              <w:numPr>
                <w:ilvl w:val="0"/>
                <w:numId w:val="10"/>
              </w:numPr>
              <w:spacing w:before="120" w:after="120"/>
              <w:jc w:val="both"/>
              <w:rPr>
                <w:noProof/>
                <w:lang w:val="nl-BE"/>
              </w:rPr>
            </w:pPr>
            <w:r w:rsidRPr="00642E2C">
              <w:rPr>
                <w:noProof/>
                <w:lang w:val="nl-BE"/>
              </w:rPr>
              <w:t>les subventions publiques reçues. </w:t>
            </w:r>
          </w:p>
        </w:tc>
      </w:tr>
      <w:tr w:rsidR="00226A8F" w:rsidRPr="00305C5B" w:rsidTr="00C221B4">
        <w:tc>
          <w:tcPr>
            <w:tcW w:w="4503" w:type="dxa"/>
          </w:tcPr>
          <w:p w:rsidR="00226A8F" w:rsidRPr="00642E2C" w:rsidRDefault="007666AB" w:rsidP="008D5393">
            <w:pPr>
              <w:spacing w:before="120" w:after="120"/>
              <w:jc w:val="both"/>
              <w:rPr>
                <w:noProof/>
                <w:lang w:val="nl-BE"/>
              </w:rPr>
            </w:pPr>
            <w:r w:rsidRPr="00157349">
              <w:rPr>
                <w:noProof/>
                <w:lang w:val="nl-BE"/>
              </w:rPr>
              <w:t xml:space="preserve">Voor de toepassing van de onderhavige bepaling </w:t>
            </w:r>
            <w:r w:rsidR="00157349">
              <w:rPr>
                <w:noProof/>
                <w:lang w:val="nl-BE"/>
              </w:rPr>
              <w:t>omvat(ten) het (</w:t>
            </w:r>
            <w:r w:rsidR="00157349" w:rsidRPr="00157349">
              <w:rPr>
                <w:noProof/>
                <w:lang w:val="nl-BE"/>
              </w:rPr>
              <w:t>de</w:t>
            </w:r>
            <w:r w:rsidR="00157349">
              <w:rPr>
                <w:noProof/>
                <w:lang w:val="nl-BE"/>
              </w:rPr>
              <w:t>)</w:t>
            </w:r>
            <w:r w:rsidR="00157349" w:rsidRPr="00157349">
              <w:rPr>
                <w:noProof/>
                <w:lang w:val="nl-BE"/>
              </w:rPr>
              <w:t xml:space="preserve"> land</w:t>
            </w:r>
            <w:r w:rsidR="00157349">
              <w:rPr>
                <w:noProof/>
                <w:lang w:val="nl-BE"/>
              </w:rPr>
              <w:t>(</w:t>
            </w:r>
            <w:r w:rsidR="00157349" w:rsidRPr="00157349">
              <w:rPr>
                <w:noProof/>
                <w:lang w:val="nl-BE"/>
              </w:rPr>
              <w:t>en</w:t>
            </w:r>
            <w:r w:rsidR="00157349">
              <w:rPr>
                <w:noProof/>
                <w:lang w:val="nl-BE"/>
              </w:rPr>
              <w:t>)</w:t>
            </w:r>
            <w:r w:rsidR="00157349" w:rsidRPr="00157349">
              <w:rPr>
                <w:noProof/>
                <w:lang w:val="nl-BE"/>
              </w:rPr>
              <w:t xml:space="preserve"> </w:t>
            </w:r>
            <w:r w:rsidR="00157349">
              <w:rPr>
                <w:noProof/>
                <w:lang w:val="nl-BE"/>
              </w:rPr>
              <w:t xml:space="preserve">waarin de instelling een vestiging heeft, de landen waar </w:t>
            </w:r>
            <w:r w:rsidR="008D5393">
              <w:rPr>
                <w:noProof/>
                <w:lang w:val="nl-BE"/>
              </w:rPr>
              <w:t>zij</w:t>
            </w:r>
            <w:r w:rsidR="00157349">
              <w:rPr>
                <w:noProof/>
                <w:lang w:val="nl-BE"/>
              </w:rPr>
              <w:t xml:space="preserve"> over een bijkantoor</w:t>
            </w:r>
            <w:r w:rsidR="005C4398">
              <w:rPr>
                <w:noProof/>
                <w:lang w:val="nl-BE"/>
              </w:rPr>
              <w:t>, een dochteronderneming</w:t>
            </w:r>
            <w:r w:rsidR="00157349">
              <w:rPr>
                <w:noProof/>
                <w:lang w:val="nl-BE"/>
              </w:rPr>
              <w:t xml:space="preserve"> of</w:t>
            </w:r>
            <w:r w:rsidR="005C4398">
              <w:rPr>
                <w:noProof/>
                <w:lang w:val="nl-BE"/>
              </w:rPr>
              <w:t xml:space="preserve"> een gemeenschappelijke</w:t>
            </w:r>
            <w:r w:rsidR="00157349">
              <w:rPr>
                <w:noProof/>
                <w:lang w:val="nl-BE"/>
              </w:rPr>
              <w:t xml:space="preserve"> dochteronderneming beschikt in de zin van dit besluit</w:t>
            </w:r>
            <w:r w:rsidR="00226A8F" w:rsidRPr="00642E2C">
              <w:rPr>
                <w:noProof/>
                <w:lang w:val="nl-BE"/>
              </w:rPr>
              <w:t>.</w:t>
            </w:r>
          </w:p>
        </w:tc>
        <w:tc>
          <w:tcPr>
            <w:tcW w:w="4245" w:type="dxa"/>
          </w:tcPr>
          <w:p w:rsidR="00226A8F" w:rsidRDefault="00226A8F" w:rsidP="009B36BB">
            <w:pPr>
              <w:spacing w:before="120" w:after="120"/>
              <w:jc w:val="both"/>
              <w:rPr>
                <w:noProof/>
                <w:lang w:val="fr-FR"/>
              </w:rPr>
            </w:pPr>
            <w:r>
              <w:rPr>
                <w:noProof/>
                <w:lang w:val="af-ZA"/>
              </w:rPr>
              <w:t>Pour l’application de la présente disposition l</w:t>
            </w:r>
            <w:r>
              <w:rPr>
                <w:noProof/>
                <w:lang w:val="fr-FR"/>
              </w:rPr>
              <w:t>es pays dans le(s)quel(s) l’établissement est établi incluent ceux dans lesquels il dispose d’une succursale</w:t>
            </w:r>
            <w:r w:rsidR="00797CE6">
              <w:rPr>
                <w:noProof/>
                <w:lang w:val="fr-FR"/>
              </w:rPr>
              <w:t>, d’une filiale</w:t>
            </w:r>
            <w:r>
              <w:rPr>
                <w:noProof/>
                <w:lang w:val="fr-FR"/>
              </w:rPr>
              <w:t xml:space="preserve"> ou d’une filiale</w:t>
            </w:r>
            <w:r w:rsidR="00797CE6">
              <w:rPr>
                <w:noProof/>
                <w:lang w:val="fr-FR"/>
              </w:rPr>
              <w:t xml:space="preserve"> commune</w:t>
            </w:r>
            <w:r>
              <w:rPr>
                <w:noProof/>
                <w:lang w:val="fr-FR"/>
              </w:rPr>
              <w:t xml:space="preserve"> au sens du présent arrêté.</w:t>
            </w:r>
          </w:p>
        </w:tc>
      </w:tr>
      <w:tr w:rsidR="00226A8F" w:rsidRPr="00305C5B" w:rsidTr="00C221B4">
        <w:tc>
          <w:tcPr>
            <w:tcW w:w="4503" w:type="dxa"/>
          </w:tcPr>
          <w:p w:rsidR="0052573F" w:rsidRPr="0052573F" w:rsidRDefault="0052573F" w:rsidP="0052573F">
            <w:pPr>
              <w:spacing w:before="120" w:after="120"/>
              <w:jc w:val="both"/>
              <w:rPr>
                <w:bCs/>
                <w:noProof/>
                <w:lang w:val="nl-BE"/>
              </w:rPr>
            </w:pPr>
            <w:r w:rsidRPr="0052573F">
              <w:rPr>
                <w:bCs/>
                <w:noProof/>
                <w:lang w:val="af-ZA"/>
              </w:rPr>
              <w:t>Onder omzet wordt verstaan, de som van de rubrieken I (Rente-opbrengsten en soortgelijke opbrengsten waaronder: uit vastrentende waardepapieren), III (Opbrengsten uit niet-vastrentende effecten), IV (Ontvangen provisies) en VI (Winst (Verlies) uit financiële transacties) van het schema van de winst- en verliesrekening.</w:t>
            </w:r>
          </w:p>
          <w:p w:rsidR="00226A8F" w:rsidRPr="00130C74" w:rsidRDefault="00226A8F" w:rsidP="0069560A">
            <w:pPr>
              <w:spacing w:before="120" w:after="120"/>
              <w:jc w:val="both"/>
              <w:rPr>
                <w:bCs/>
                <w:noProof/>
                <w:lang w:val="nl-BE"/>
              </w:rPr>
            </w:pPr>
          </w:p>
        </w:tc>
        <w:tc>
          <w:tcPr>
            <w:tcW w:w="4245" w:type="dxa"/>
          </w:tcPr>
          <w:p w:rsidR="00226A8F" w:rsidRDefault="00226A8F" w:rsidP="003C6F77">
            <w:pPr>
              <w:spacing w:before="120" w:after="120"/>
              <w:jc w:val="both"/>
              <w:rPr>
                <w:noProof/>
                <w:lang w:val="fr-FR"/>
              </w:rPr>
            </w:pPr>
            <w:r>
              <w:rPr>
                <w:noProof/>
                <w:lang w:val="fr-FR"/>
              </w:rPr>
              <w:t>Par chiffre d’affaires, il faut entendre la somme des rubriques I (Intérêts et produits assimilés dont : de titres à revenu fixe), III (Revenus de titres à revenu variable), IV (Commissions perçues) et VI (Bénéfices provenant d’opérations financières) du schéma de compte de résultats.</w:t>
            </w:r>
          </w:p>
        </w:tc>
      </w:tr>
      <w:tr w:rsidR="00226A8F" w:rsidRPr="00305C5B" w:rsidTr="00C221B4">
        <w:tc>
          <w:tcPr>
            <w:tcW w:w="4503" w:type="dxa"/>
          </w:tcPr>
          <w:p w:rsidR="00226A8F" w:rsidRPr="003C6F77" w:rsidRDefault="00355D4A" w:rsidP="00DF20B5">
            <w:pPr>
              <w:spacing w:before="120" w:after="120"/>
              <w:jc w:val="both"/>
              <w:rPr>
                <w:bCs/>
                <w:noProof/>
                <w:lang w:val="af-ZA"/>
              </w:rPr>
            </w:pPr>
            <w:r>
              <w:rPr>
                <w:bCs/>
                <w:noProof/>
                <w:lang w:val="af-ZA"/>
              </w:rPr>
              <w:t xml:space="preserve">De winst (het verlies) vóór belastingen </w:t>
            </w:r>
            <w:r w:rsidR="00DF20B5">
              <w:rPr>
                <w:bCs/>
                <w:noProof/>
                <w:lang w:val="af-ZA"/>
              </w:rPr>
              <w:t xml:space="preserve">stemt overeen met </w:t>
            </w:r>
            <w:r>
              <w:rPr>
                <w:bCs/>
                <w:noProof/>
                <w:lang w:val="af-ZA"/>
              </w:rPr>
              <w:t xml:space="preserve">het bedrag opgenomen in </w:t>
            </w:r>
            <w:r>
              <w:rPr>
                <w:bCs/>
                <w:noProof/>
                <w:lang w:val="af-ZA"/>
              </w:rPr>
              <w:lastRenderedPageBreak/>
              <w:t xml:space="preserve">rubriek </w:t>
            </w:r>
            <w:r w:rsidR="00212919">
              <w:rPr>
                <w:bCs/>
                <w:noProof/>
                <w:lang w:val="af-ZA"/>
              </w:rPr>
              <w:t xml:space="preserve">XIX </w:t>
            </w:r>
            <w:r>
              <w:rPr>
                <w:bCs/>
                <w:noProof/>
                <w:lang w:val="af-ZA"/>
              </w:rPr>
              <w:t>van het schema v</w:t>
            </w:r>
            <w:r w:rsidR="000D09EF">
              <w:rPr>
                <w:bCs/>
                <w:noProof/>
                <w:lang w:val="af-ZA"/>
              </w:rPr>
              <w:t>an de winst- en verliesrekening</w:t>
            </w:r>
            <w:r w:rsidR="000D09EF" w:rsidRPr="00642E2C">
              <w:rPr>
                <w:bCs/>
                <w:noProof/>
                <w:lang w:val="nl-BE"/>
              </w:rPr>
              <w:t>.</w:t>
            </w:r>
          </w:p>
        </w:tc>
        <w:tc>
          <w:tcPr>
            <w:tcW w:w="4245" w:type="dxa"/>
          </w:tcPr>
          <w:p w:rsidR="00226A8F" w:rsidRDefault="00226A8F" w:rsidP="00DF20B5">
            <w:pPr>
              <w:spacing w:before="120" w:after="120"/>
              <w:jc w:val="both"/>
              <w:rPr>
                <w:noProof/>
                <w:lang w:val="fr-FR"/>
              </w:rPr>
            </w:pPr>
            <w:r>
              <w:rPr>
                <w:noProof/>
                <w:lang w:val="fr-FR"/>
              </w:rPr>
              <w:lastRenderedPageBreak/>
              <w:t xml:space="preserve">Le bénéfice (perte) avant impôt correspond au montant repris à la </w:t>
            </w:r>
            <w:r>
              <w:rPr>
                <w:noProof/>
                <w:lang w:val="fr-FR"/>
              </w:rPr>
              <w:lastRenderedPageBreak/>
              <w:t xml:space="preserve">rubrique </w:t>
            </w:r>
            <w:r w:rsidR="00212919">
              <w:rPr>
                <w:noProof/>
                <w:lang w:val="fr-FR"/>
              </w:rPr>
              <w:t xml:space="preserve">XIX </w:t>
            </w:r>
            <w:r>
              <w:rPr>
                <w:noProof/>
                <w:lang w:val="fr-FR"/>
              </w:rPr>
              <w:t>du schéma de compte de résultats. </w:t>
            </w:r>
          </w:p>
        </w:tc>
      </w:tr>
      <w:tr w:rsidR="004E435A" w:rsidRPr="00305C5B" w:rsidTr="00C221B4">
        <w:tc>
          <w:tcPr>
            <w:tcW w:w="4503" w:type="dxa"/>
          </w:tcPr>
          <w:p w:rsidR="004E435A" w:rsidRPr="00642E2C" w:rsidRDefault="005C4398" w:rsidP="004B3CCB">
            <w:pPr>
              <w:spacing w:before="120" w:after="120"/>
              <w:jc w:val="both"/>
              <w:rPr>
                <w:noProof/>
                <w:lang w:val="af-ZA"/>
              </w:rPr>
            </w:pPr>
            <w:r w:rsidRPr="00642E2C">
              <w:rPr>
                <w:noProof/>
                <w:lang w:val="af-ZA"/>
              </w:rPr>
              <w:lastRenderedPageBreak/>
              <w:t xml:space="preserve">Staat nr. XXXI moet worden ingevuld door de instellingen als bedoeld in artikel 4, lid 1, </w:t>
            </w:r>
            <w:r w:rsidR="00D97008">
              <w:rPr>
                <w:noProof/>
                <w:lang w:val="af-ZA"/>
              </w:rPr>
              <w:t xml:space="preserve">punt </w:t>
            </w:r>
            <w:r w:rsidRPr="00642E2C">
              <w:rPr>
                <w:noProof/>
                <w:lang w:val="af-ZA"/>
              </w:rPr>
              <w:t xml:space="preserve">3 van </w:t>
            </w:r>
            <w:r w:rsidR="004B3CCB">
              <w:rPr>
                <w:noProof/>
                <w:lang w:val="af-ZA"/>
              </w:rPr>
              <w:t>v</w:t>
            </w:r>
            <w:r w:rsidRPr="00642E2C">
              <w:rPr>
                <w:noProof/>
                <w:lang w:val="af-ZA"/>
              </w:rPr>
              <w:t xml:space="preserve">erordening (EU) nr. 575/2013 van het Europees Parlement en de Raad van 26 juni 2013 betreffende prudentiële vereisten voor kredietinstellingen en beleggingsondernemingen en tot wijziging van </w:t>
            </w:r>
            <w:r w:rsidR="004B3CCB">
              <w:rPr>
                <w:noProof/>
                <w:lang w:val="af-ZA"/>
              </w:rPr>
              <w:t>v</w:t>
            </w:r>
            <w:r w:rsidRPr="00642E2C">
              <w:rPr>
                <w:noProof/>
                <w:lang w:val="af-ZA"/>
              </w:rPr>
              <w:t xml:space="preserve">erordening (EU) nr. 648/2012. </w:t>
            </w:r>
          </w:p>
        </w:tc>
        <w:tc>
          <w:tcPr>
            <w:tcW w:w="4245" w:type="dxa"/>
          </w:tcPr>
          <w:p w:rsidR="004E435A" w:rsidRPr="00642E2C" w:rsidRDefault="00D17942" w:rsidP="00FD3C98">
            <w:pPr>
              <w:spacing w:before="120" w:after="120"/>
              <w:jc w:val="both"/>
              <w:rPr>
                <w:b/>
                <w:noProof/>
                <w:lang w:val="fr-FR"/>
              </w:rPr>
            </w:pPr>
            <w:r>
              <w:rPr>
                <w:noProof/>
                <w:lang w:val="fr-FR"/>
              </w:rPr>
              <w:t xml:space="preserve">L’état n° </w:t>
            </w:r>
            <w:r w:rsidRPr="00642E2C">
              <w:rPr>
                <w:noProof/>
                <w:color w:val="000000" w:themeColor="text1"/>
                <w:lang w:val="fr-FR"/>
              </w:rPr>
              <w:t>XXXI doit être complété  par les établissement</w:t>
            </w:r>
            <w:r w:rsidR="00ED55BA" w:rsidRPr="00642E2C">
              <w:rPr>
                <w:noProof/>
                <w:color w:val="000000" w:themeColor="text1"/>
                <w:lang w:val="fr-FR"/>
              </w:rPr>
              <w:t>s</w:t>
            </w:r>
            <w:r w:rsidRPr="00642E2C">
              <w:rPr>
                <w:noProof/>
                <w:color w:val="000000" w:themeColor="text1"/>
                <w:lang w:val="fr-FR"/>
              </w:rPr>
              <w:t xml:space="preserve"> visés à l’article </w:t>
            </w:r>
            <w:r w:rsidRPr="00642E2C">
              <w:rPr>
                <w:color w:val="000000" w:themeColor="text1"/>
                <w:lang w:val="fr-FR"/>
              </w:rPr>
              <w:t>4</w:t>
            </w:r>
            <w:r w:rsidR="00ED55BA" w:rsidRPr="00642E2C">
              <w:rPr>
                <w:color w:val="000000" w:themeColor="text1"/>
                <w:lang w:val="fr-FR"/>
              </w:rPr>
              <w:t xml:space="preserve">, </w:t>
            </w:r>
            <w:r w:rsidR="00FD3C98">
              <w:rPr>
                <w:color w:val="000000" w:themeColor="text1"/>
                <w:lang w:val="fr-FR"/>
              </w:rPr>
              <w:t xml:space="preserve">paragraphe </w:t>
            </w:r>
            <w:r w:rsidR="00ED55BA" w:rsidRPr="00642E2C">
              <w:rPr>
                <w:color w:val="000000" w:themeColor="text1"/>
                <w:lang w:val="fr-FR"/>
              </w:rPr>
              <w:t>1</w:t>
            </w:r>
            <w:r w:rsidR="00ED55BA" w:rsidRPr="00642E2C">
              <w:rPr>
                <w:color w:val="000000" w:themeColor="text1"/>
                <w:vertAlign w:val="superscript"/>
                <w:lang w:val="fr-FR"/>
              </w:rPr>
              <w:t>er</w:t>
            </w:r>
            <w:r w:rsidR="00ED55BA" w:rsidRPr="00642E2C">
              <w:rPr>
                <w:color w:val="000000" w:themeColor="text1"/>
                <w:lang w:val="fr-FR"/>
              </w:rPr>
              <w:t xml:space="preserve">, 3 </w:t>
            </w:r>
            <w:r w:rsidRPr="00642E2C">
              <w:rPr>
                <w:color w:val="000000" w:themeColor="text1"/>
                <w:lang w:val="fr-FR"/>
              </w:rPr>
              <w:t xml:space="preserve">du </w:t>
            </w:r>
            <w:r w:rsidR="006010B7">
              <w:rPr>
                <w:color w:val="000000" w:themeColor="text1"/>
                <w:lang w:val="fr-FR"/>
              </w:rPr>
              <w:t>r</w:t>
            </w:r>
            <w:r w:rsidRPr="00642E2C">
              <w:rPr>
                <w:color w:val="000000" w:themeColor="text1"/>
                <w:lang w:val="fr-FR"/>
              </w:rPr>
              <w:t xml:space="preserve">èglement (UE) </w:t>
            </w:r>
            <w:r w:rsidR="00D70E30">
              <w:rPr>
                <w:color w:val="000000" w:themeColor="text1"/>
                <w:lang w:val="fr-FR"/>
              </w:rPr>
              <w:t>n</w:t>
            </w:r>
            <w:r w:rsidRPr="00642E2C">
              <w:rPr>
                <w:color w:val="000000" w:themeColor="text1"/>
                <w:lang w:val="fr-FR"/>
              </w:rPr>
              <w:t xml:space="preserve">° 575/2013 du Parlement européen et du Conseil du </w:t>
            </w:r>
            <w:r w:rsidR="00ED55BA" w:rsidRPr="00642E2C">
              <w:rPr>
                <w:color w:val="000000" w:themeColor="text1"/>
                <w:lang w:val="fr-FR"/>
              </w:rPr>
              <w:t>26 juin 2013 concernant les exigences prudentielles applicables aux établissements de crédit et aux entreprises d’investissement et modifiant le règlement (UE) n° 648/2012.</w:t>
            </w:r>
          </w:p>
        </w:tc>
      </w:tr>
      <w:tr w:rsidR="00486D48" w:rsidRPr="00305C5B" w:rsidTr="00C221B4">
        <w:tc>
          <w:tcPr>
            <w:tcW w:w="4503" w:type="dxa"/>
          </w:tcPr>
          <w:p w:rsidR="00486D48" w:rsidRPr="00642E2C" w:rsidRDefault="005C4398" w:rsidP="006010B7">
            <w:pPr>
              <w:spacing w:before="120" w:after="120"/>
              <w:jc w:val="both"/>
              <w:rPr>
                <w:noProof/>
                <w:lang w:val="af-ZA"/>
              </w:rPr>
            </w:pPr>
            <w:r w:rsidRPr="00642E2C">
              <w:rPr>
                <w:noProof/>
                <w:lang w:val="af-ZA"/>
              </w:rPr>
              <w:t xml:space="preserve">Staat nr. XXXI dient niet te worden ingevuld door de voornoemde instellingen die </w:t>
            </w:r>
            <w:r w:rsidR="00D97008">
              <w:rPr>
                <w:noProof/>
                <w:lang w:val="af-ZA"/>
              </w:rPr>
              <w:t xml:space="preserve">een </w:t>
            </w:r>
            <w:r w:rsidRPr="00642E2C">
              <w:rPr>
                <w:noProof/>
                <w:lang w:val="af-ZA"/>
              </w:rPr>
              <w:t xml:space="preserve">geconsolideerde </w:t>
            </w:r>
            <w:r w:rsidR="00D97008">
              <w:rPr>
                <w:noProof/>
                <w:lang w:val="af-ZA"/>
              </w:rPr>
              <w:t>jaar</w:t>
            </w:r>
            <w:r w:rsidRPr="00642E2C">
              <w:rPr>
                <w:noProof/>
                <w:lang w:val="af-ZA"/>
              </w:rPr>
              <w:t xml:space="preserve">rekening opstellen en publiceren overeenkomstig het koninklijk besluit van 23 september 1992 op de </w:t>
            </w:r>
            <w:r w:rsidR="00D97008">
              <w:rPr>
                <w:noProof/>
                <w:lang w:val="af-ZA"/>
              </w:rPr>
              <w:t xml:space="preserve">geconsolideerde </w:t>
            </w:r>
            <w:r w:rsidRPr="00642E2C">
              <w:rPr>
                <w:noProof/>
                <w:lang w:val="af-ZA"/>
              </w:rPr>
              <w:t>jaarrekening van de kredietinstellingen, de beleggingsondernemingen en de beheervennootschappen van instellingen voor collectieve belegging.</w:t>
            </w:r>
            <w:r w:rsidR="006010B7" w:rsidRPr="0069560A">
              <w:rPr>
                <w:lang w:val="nl-NL"/>
              </w:rPr>
              <w:t xml:space="preserve"> </w:t>
            </w:r>
            <w:r w:rsidR="006010B7" w:rsidRPr="006010B7">
              <w:rPr>
                <w:noProof/>
                <w:lang w:val="af-ZA"/>
              </w:rPr>
              <w:t>»</w:t>
            </w:r>
            <w:r w:rsidR="006010B7">
              <w:rPr>
                <w:noProof/>
                <w:lang w:val="af-ZA"/>
              </w:rPr>
              <w:t>.</w:t>
            </w:r>
          </w:p>
        </w:tc>
        <w:tc>
          <w:tcPr>
            <w:tcW w:w="4245" w:type="dxa"/>
          </w:tcPr>
          <w:p w:rsidR="00B36B0A" w:rsidRPr="00642E2C" w:rsidRDefault="00B36B0A" w:rsidP="006010B7">
            <w:pPr>
              <w:spacing w:before="120" w:after="120"/>
              <w:jc w:val="both"/>
              <w:rPr>
                <w:noProof/>
                <w:lang w:val="fr-FR"/>
              </w:rPr>
            </w:pPr>
            <w:r w:rsidRPr="00642E2C">
              <w:rPr>
                <w:noProof/>
                <w:lang w:val="af-ZA"/>
              </w:rPr>
              <w:t>L</w:t>
            </w:r>
            <w:r w:rsidR="00C82E11" w:rsidRPr="00642E2C">
              <w:rPr>
                <w:noProof/>
                <w:lang w:val="af-ZA"/>
              </w:rPr>
              <w:t>’état n° XXXI ne doit pas être complété par les</w:t>
            </w:r>
            <w:r w:rsidR="004E435A" w:rsidRPr="00642E2C">
              <w:rPr>
                <w:noProof/>
                <w:lang w:val="af-ZA"/>
              </w:rPr>
              <w:t xml:space="preserve"> </w:t>
            </w:r>
            <w:r w:rsidRPr="00642E2C">
              <w:rPr>
                <w:noProof/>
                <w:lang w:val="af-ZA"/>
              </w:rPr>
              <w:t xml:space="preserve">établissements </w:t>
            </w:r>
            <w:r w:rsidR="00D17942">
              <w:rPr>
                <w:noProof/>
                <w:lang w:val="af-ZA"/>
              </w:rPr>
              <w:t xml:space="preserve">précités </w:t>
            </w:r>
            <w:r w:rsidRPr="00642E2C">
              <w:rPr>
                <w:noProof/>
                <w:lang w:val="af-ZA"/>
              </w:rPr>
              <w:t xml:space="preserve">qui établissent </w:t>
            </w:r>
            <w:r w:rsidR="00B244E6" w:rsidRPr="00642E2C">
              <w:rPr>
                <w:noProof/>
                <w:lang w:val="af-ZA"/>
              </w:rPr>
              <w:t xml:space="preserve">et publient </w:t>
            </w:r>
            <w:r w:rsidRPr="00642E2C">
              <w:rPr>
                <w:noProof/>
                <w:lang w:val="af-ZA"/>
              </w:rPr>
              <w:t>des comptes consolidés conformément à l’arrêté royal du 23 septembre 1992 relatif aux comptes consolidés des établissements de crédit, des entreprises d’investissement et des sociétés de gestion d’organismes de placement collectif</w:t>
            </w:r>
            <w:r w:rsidR="004E435A" w:rsidRPr="00642E2C">
              <w:rPr>
                <w:noProof/>
                <w:lang w:val="af-ZA"/>
              </w:rPr>
              <w:t>.</w:t>
            </w:r>
            <w:r w:rsidR="006010B7" w:rsidRPr="0069560A">
              <w:rPr>
                <w:lang w:val="fr-BE"/>
              </w:rPr>
              <w:t xml:space="preserve"> </w:t>
            </w:r>
            <w:r w:rsidR="006010B7" w:rsidRPr="006010B7">
              <w:rPr>
                <w:noProof/>
                <w:lang w:val="af-ZA"/>
              </w:rPr>
              <w:t>»</w:t>
            </w:r>
            <w:r w:rsidR="006010B7">
              <w:rPr>
                <w:noProof/>
                <w:lang w:val="af-ZA"/>
              </w:rPr>
              <w:t>.</w:t>
            </w:r>
          </w:p>
        </w:tc>
      </w:tr>
      <w:tr w:rsidR="00DD3066" w:rsidRPr="00305C5B" w:rsidTr="00C221B4">
        <w:tc>
          <w:tcPr>
            <w:tcW w:w="4503" w:type="dxa"/>
          </w:tcPr>
          <w:p w:rsidR="00DD3066" w:rsidRPr="00642E2C" w:rsidRDefault="005C4398" w:rsidP="00355D4A">
            <w:pPr>
              <w:spacing w:before="120" w:after="120"/>
              <w:jc w:val="both"/>
              <w:rPr>
                <w:i/>
                <w:noProof/>
                <w:lang w:val="af-ZA"/>
              </w:rPr>
            </w:pPr>
            <w:r w:rsidRPr="00642E2C">
              <w:rPr>
                <w:i/>
                <w:noProof/>
                <w:lang w:val="af-ZA"/>
              </w:rPr>
              <w:t>Hoofdstuk II. - Wijziging van het koninklijk besluit van 23 september 1992 op de</w:t>
            </w:r>
            <w:r w:rsidR="00D97008">
              <w:rPr>
                <w:i/>
                <w:noProof/>
                <w:lang w:val="af-ZA"/>
              </w:rPr>
              <w:t xml:space="preserve"> geconsolideerde</w:t>
            </w:r>
            <w:r w:rsidRPr="00642E2C">
              <w:rPr>
                <w:i/>
                <w:noProof/>
                <w:lang w:val="af-ZA"/>
              </w:rPr>
              <w:t xml:space="preserve"> jaarrekening van de kredietinstellingen, de beleggingsondernemingen en de beheervennootschappen van instellingen voor collectieve belegging.</w:t>
            </w:r>
          </w:p>
        </w:tc>
        <w:tc>
          <w:tcPr>
            <w:tcW w:w="4245" w:type="dxa"/>
          </w:tcPr>
          <w:p w:rsidR="00DD3066" w:rsidRPr="00B569AF" w:rsidRDefault="004E435A">
            <w:pPr>
              <w:spacing w:before="120" w:after="120"/>
              <w:jc w:val="both"/>
              <w:rPr>
                <w:b/>
                <w:noProof/>
                <w:lang w:val="af-ZA"/>
              </w:rPr>
            </w:pPr>
            <w:r w:rsidRPr="003563C7">
              <w:rPr>
                <w:i/>
                <w:noProof/>
                <w:lang w:val="af-ZA"/>
              </w:rPr>
              <w:t>Ch</w:t>
            </w:r>
            <w:r>
              <w:rPr>
                <w:i/>
                <w:noProof/>
                <w:lang w:val="af-ZA"/>
              </w:rPr>
              <w:t>apitre II</w:t>
            </w:r>
            <w:r w:rsidRPr="003563C7">
              <w:rPr>
                <w:i/>
                <w:noProof/>
                <w:lang w:val="af-ZA"/>
              </w:rPr>
              <w:t xml:space="preserve">. – Modification de </w:t>
            </w:r>
            <w:r w:rsidRPr="003563C7">
              <w:rPr>
                <w:i/>
                <w:noProof/>
                <w:lang w:val="fr-FR"/>
              </w:rPr>
              <w:t xml:space="preserve">l’arrêté </w:t>
            </w:r>
            <w:r w:rsidRPr="003563C7">
              <w:rPr>
                <w:i/>
                <w:noProof/>
                <w:lang w:val="af-ZA"/>
              </w:rPr>
              <w:t xml:space="preserve">royal du 23 septembre 1992 relatif aux comptes </w:t>
            </w:r>
            <w:r>
              <w:rPr>
                <w:i/>
                <w:noProof/>
                <w:lang w:val="af-ZA"/>
              </w:rPr>
              <w:t>consolidés</w:t>
            </w:r>
            <w:r w:rsidRPr="003563C7">
              <w:rPr>
                <w:i/>
                <w:noProof/>
                <w:lang w:val="af-ZA"/>
              </w:rPr>
              <w:t xml:space="preserve"> des établissements de crédit, des entreprises d’investissement et des sociétés de gestion d’organismes de placement collectif</w:t>
            </w:r>
          </w:p>
        </w:tc>
      </w:tr>
      <w:tr w:rsidR="00DD3066" w:rsidRPr="00305C5B" w:rsidTr="00C221B4">
        <w:tc>
          <w:tcPr>
            <w:tcW w:w="4503" w:type="dxa"/>
          </w:tcPr>
          <w:p w:rsidR="00DD3066" w:rsidRPr="00642E2C" w:rsidRDefault="005C4398">
            <w:pPr>
              <w:spacing w:before="120" w:after="120"/>
              <w:jc w:val="both"/>
              <w:rPr>
                <w:noProof/>
                <w:lang w:val="af-ZA"/>
              </w:rPr>
            </w:pPr>
            <w:r>
              <w:rPr>
                <w:b/>
                <w:noProof/>
                <w:lang w:val="af-ZA"/>
              </w:rPr>
              <w:t xml:space="preserve">Art. 3. </w:t>
            </w:r>
            <w:r>
              <w:rPr>
                <w:noProof/>
                <w:lang w:val="af-ZA"/>
              </w:rPr>
              <w:t xml:space="preserve">In het koninklijk besluit van 23 september 1992 </w:t>
            </w:r>
            <w:r w:rsidRPr="005C4398">
              <w:rPr>
                <w:noProof/>
                <w:lang w:val="af-ZA"/>
              </w:rPr>
              <w:t xml:space="preserve">op de </w:t>
            </w:r>
            <w:r w:rsidR="00D97008">
              <w:rPr>
                <w:noProof/>
                <w:lang w:val="af-ZA"/>
              </w:rPr>
              <w:t xml:space="preserve">geconsolideerde </w:t>
            </w:r>
            <w:r w:rsidRPr="005C4398">
              <w:rPr>
                <w:noProof/>
                <w:lang w:val="af-ZA"/>
              </w:rPr>
              <w:t>jaarrekening van de kredietinstellingen, de beleggingsondernemingen en de beheervennootschappen van instellingen voor collectieve belegging</w:t>
            </w:r>
            <w:r>
              <w:rPr>
                <w:noProof/>
                <w:lang w:val="af-ZA"/>
              </w:rPr>
              <w:t xml:space="preserve">, wordt een artikel 6bis </w:t>
            </w:r>
            <w:r w:rsidR="0093527D">
              <w:rPr>
                <w:noProof/>
                <w:lang w:val="af-ZA"/>
              </w:rPr>
              <w:t xml:space="preserve">ingevoegd, </w:t>
            </w:r>
            <w:r w:rsidR="007F4A5F">
              <w:rPr>
                <w:noProof/>
                <w:lang w:val="af-ZA"/>
              </w:rPr>
              <w:t>luidende</w:t>
            </w:r>
            <w:r w:rsidR="0093527D">
              <w:rPr>
                <w:noProof/>
                <w:lang w:val="af-ZA"/>
              </w:rPr>
              <w:t>:</w:t>
            </w:r>
          </w:p>
        </w:tc>
        <w:tc>
          <w:tcPr>
            <w:tcW w:w="4245" w:type="dxa"/>
          </w:tcPr>
          <w:p w:rsidR="00DD3066" w:rsidRPr="00642E2C" w:rsidRDefault="005D6830" w:rsidP="00D70E30">
            <w:pPr>
              <w:spacing w:before="120" w:after="120"/>
              <w:jc w:val="both"/>
              <w:rPr>
                <w:b/>
                <w:noProof/>
                <w:lang w:val="fr-FR"/>
              </w:rPr>
            </w:pPr>
            <w:r w:rsidRPr="00642E2C">
              <w:rPr>
                <w:b/>
                <w:noProof/>
                <w:lang w:val="af-ZA"/>
              </w:rPr>
              <w:t>Art. 3.</w:t>
            </w:r>
            <w:r>
              <w:rPr>
                <w:noProof/>
                <w:lang w:val="af-ZA"/>
              </w:rPr>
              <w:t xml:space="preserve"> </w:t>
            </w:r>
            <w:r w:rsidR="00657D80" w:rsidRPr="00B569AF">
              <w:rPr>
                <w:noProof/>
                <w:lang w:val="af-ZA"/>
              </w:rPr>
              <w:t xml:space="preserve">Dans </w:t>
            </w:r>
            <w:r w:rsidR="00657D80" w:rsidRPr="00B569AF">
              <w:rPr>
                <w:bCs/>
                <w:noProof/>
                <w:lang w:val="af-ZA"/>
              </w:rPr>
              <w:t xml:space="preserve">l’arrêté royal du 23 septembre 1992 relatif aux comptes consolidés des </w:t>
            </w:r>
            <w:r w:rsidR="00D70E30">
              <w:rPr>
                <w:bCs/>
                <w:noProof/>
                <w:lang w:val="af-ZA"/>
              </w:rPr>
              <w:t>é</w:t>
            </w:r>
            <w:r w:rsidR="00657D80" w:rsidRPr="00B569AF">
              <w:rPr>
                <w:bCs/>
                <w:noProof/>
                <w:lang w:val="af-ZA"/>
              </w:rPr>
              <w:t>tablissements de cr</w:t>
            </w:r>
            <w:r w:rsidR="00D70E30">
              <w:rPr>
                <w:bCs/>
                <w:noProof/>
                <w:lang w:val="af-ZA"/>
              </w:rPr>
              <w:t>é</w:t>
            </w:r>
            <w:r w:rsidR="00657D80" w:rsidRPr="00B569AF">
              <w:rPr>
                <w:bCs/>
                <w:noProof/>
                <w:lang w:val="af-ZA"/>
              </w:rPr>
              <w:t>dit, des entreprises d'investissement et des sociétés de gestion d'organismes de placement collectif,</w:t>
            </w:r>
            <w:r w:rsidR="00657D80" w:rsidRPr="00B569AF">
              <w:rPr>
                <w:noProof/>
                <w:lang w:val="af-ZA"/>
              </w:rPr>
              <w:t xml:space="preserve"> </w:t>
            </w:r>
            <w:r w:rsidR="00D70E30">
              <w:rPr>
                <w:noProof/>
                <w:lang w:val="af-ZA"/>
              </w:rPr>
              <w:t xml:space="preserve">il </w:t>
            </w:r>
            <w:r w:rsidR="00657D80" w:rsidRPr="00B569AF">
              <w:rPr>
                <w:noProof/>
                <w:lang w:val="af-ZA"/>
              </w:rPr>
              <w:t>est inséré</w:t>
            </w:r>
            <w:r w:rsidR="00657D80">
              <w:rPr>
                <w:lang w:val="fr-FR"/>
              </w:rPr>
              <w:t xml:space="preserve"> un article 6bis </w:t>
            </w:r>
            <w:r w:rsidR="00B31B88">
              <w:rPr>
                <w:lang w:val="fr-FR"/>
              </w:rPr>
              <w:t>rédigé comme</w:t>
            </w:r>
            <w:r w:rsidR="00657D80">
              <w:rPr>
                <w:lang w:val="fr-FR"/>
              </w:rPr>
              <w:t xml:space="preserve"> suit :</w:t>
            </w:r>
          </w:p>
        </w:tc>
      </w:tr>
      <w:tr w:rsidR="00657D80" w:rsidRPr="00305C5B" w:rsidTr="00C221B4">
        <w:tc>
          <w:tcPr>
            <w:tcW w:w="4503" w:type="dxa"/>
          </w:tcPr>
          <w:p w:rsidR="00657D80" w:rsidRPr="00B569AF" w:rsidRDefault="0093527D" w:rsidP="00D97008">
            <w:pPr>
              <w:spacing w:before="120" w:after="120"/>
              <w:jc w:val="both"/>
              <w:rPr>
                <w:b/>
                <w:noProof/>
                <w:lang w:val="af-ZA"/>
              </w:rPr>
            </w:pPr>
            <w:r w:rsidRPr="00642E2C">
              <w:rPr>
                <w:lang w:val="nl-BE"/>
              </w:rPr>
              <w:t xml:space="preserve">« Art. 6bis. De </w:t>
            </w:r>
            <w:r w:rsidR="00D97008" w:rsidRPr="00642E2C">
              <w:rPr>
                <w:lang w:val="nl-BE"/>
              </w:rPr>
              <w:t xml:space="preserve">toelichting </w:t>
            </w:r>
            <w:r w:rsidRPr="00642E2C">
              <w:rPr>
                <w:lang w:val="nl-BE"/>
              </w:rPr>
              <w:t xml:space="preserve">bij de geconsolideerde </w:t>
            </w:r>
            <w:r w:rsidR="00D97008" w:rsidRPr="00642E2C">
              <w:rPr>
                <w:lang w:val="nl-BE"/>
              </w:rPr>
              <w:t>jaar</w:t>
            </w:r>
            <w:r w:rsidRPr="00642E2C">
              <w:rPr>
                <w:lang w:val="nl-BE"/>
              </w:rPr>
              <w:t xml:space="preserve">rekening omvat, behalve de vermeldingen voorgeschreven door de goedgekeurde internationale </w:t>
            </w:r>
            <w:r w:rsidR="00D97008" w:rsidRPr="00642E2C">
              <w:rPr>
                <w:lang w:val="nl-BE"/>
              </w:rPr>
              <w:t>boekhoudnormen</w:t>
            </w:r>
            <w:r w:rsidRPr="00642E2C">
              <w:rPr>
                <w:lang w:val="nl-BE"/>
              </w:rPr>
              <w:t xml:space="preserve"> en voor zover ze niet door die standaarden worden opgelegd, de volgende informatie, voor het afgelopen boekjaar, uitgesplitst naar lidstaat en naar derde landen waarin ze zijn gevestigd:</w:t>
            </w:r>
          </w:p>
        </w:tc>
        <w:tc>
          <w:tcPr>
            <w:tcW w:w="4245" w:type="dxa"/>
          </w:tcPr>
          <w:p w:rsidR="00657D80" w:rsidRPr="00642E2C" w:rsidRDefault="00657D80" w:rsidP="0009138B">
            <w:pPr>
              <w:spacing w:before="120" w:after="120"/>
              <w:jc w:val="both"/>
              <w:rPr>
                <w:lang w:val="fr-FR"/>
              </w:rPr>
            </w:pPr>
            <w:r>
              <w:rPr>
                <w:lang w:val="fr-FR"/>
              </w:rPr>
              <w:t>« Art. 6bis. L</w:t>
            </w:r>
            <w:r w:rsidRPr="003563C7">
              <w:rPr>
                <w:lang w:val="fr-FR"/>
              </w:rPr>
              <w:t>'annexe des comptes consolidés comprend</w:t>
            </w:r>
            <w:r w:rsidR="00797CE6">
              <w:rPr>
                <w:lang w:val="fr-FR"/>
              </w:rPr>
              <w:t>,</w:t>
            </w:r>
            <w:r w:rsidRPr="003563C7">
              <w:rPr>
                <w:lang w:val="fr-FR"/>
              </w:rPr>
              <w:t xml:space="preserve"> outre les mentions prescrites par les normes comptables internationales adoptées et pour autant qu'elles ne soient pas exigées par lesdites normes, les informations suivantes</w:t>
            </w:r>
            <w:r>
              <w:rPr>
                <w:noProof/>
                <w:lang w:val="fr-FR"/>
              </w:rPr>
              <w:t xml:space="preserve">, pour l’exercice financier écoulé, en ventilant ces informations par </w:t>
            </w:r>
            <w:r w:rsidR="0009138B">
              <w:rPr>
                <w:noProof/>
                <w:lang w:val="fr-FR"/>
              </w:rPr>
              <w:t>É</w:t>
            </w:r>
            <w:r>
              <w:rPr>
                <w:noProof/>
                <w:lang w:val="fr-FR"/>
              </w:rPr>
              <w:t>tat membre et par pays tiers dans lesquels ils sont établis</w:t>
            </w:r>
            <w:r w:rsidRPr="003563C7">
              <w:rPr>
                <w:lang w:val="fr-FR"/>
              </w:rPr>
              <w:t>:</w:t>
            </w:r>
          </w:p>
        </w:tc>
      </w:tr>
      <w:tr w:rsidR="00657D80" w:rsidRPr="00305C5B" w:rsidTr="00657D80">
        <w:tc>
          <w:tcPr>
            <w:tcW w:w="4503" w:type="dxa"/>
          </w:tcPr>
          <w:p w:rsidR="00657D80" w:rsidRPr="00642E2C" w:rsidRDefault="00755E56" w:rsidP="00755E56">
            <w:pPr>
              <w:spacing w:before="120" w:after="120"/>
              <w:jc w:val="both"/>
              <w:rPr>
                <w:noProof/>
                <w:lang w:val="af-ZA"/>
              </w:rPr>
            </w:pPr>
            <w:r w:rsidRPr="00755E56">
              <w:rPr>
                <w:noProof/>
                <w:lang w:val="af-ZA"/>
              </w:rPr>
              <w:t>A.</w:t>
            </w:r>
            <w:r w:rsidRPr="00755E56">
              <w:rPr>
                <w:noProof/>
                <w:lang w:val="af-ZA"/>
              </w:rPr>
              <w:tab/>
            </w:r>
            <w:r>
              <w:rPr>
                <w:noProof/>
                <w:lang w:val="af-ZA"/>
              </w:rPr>
              <w:t>Hun benaming</w:t>
            </w:r>
            <w:r w:rsidRPr="00755E56">
              <w:rPr>
                <w:noProof/>
                <w:lang w:val="af-ZA"/>
              </w:rPr>
              <w:t>(</w:t>
            </w:r>
            <w:r>
              <w:rPr>
                <w:noProof/>
                <w:lang w:val="af-ZA"/>
              </w:rPr>
              <w:t>en</w:t>
            </w:r>
            <w:r w:rsidRPr="00755E56">
              <w:rPr>
                <w:noProof/>
                <w:lang w:val="af-ZA"/>
              </w:rPr>
              <w:t xml:space="preserve">), </w:t>
            </w:r>
            <w:r>
              <w:rPr>
                <w:noProof/>
                <w:lang w:val="af-ZA"/>
              </w:rPr>
              <w:t xml:space="preserve">de aard van hun </w:t>
            </w:r>
            <w:r w:rsidRPr="00755E56">
              <w:rPr>
                <w:noProof/>
                <w:lang w:val="af-ZA"/>
              </w:rPr>
              <w:lastRenderedPageBreak/>
              <w:t>activit</w:t>
            </w:r>
            <w:r>
              <w:rPr>
                <w:noProof/>
                <w:lang w:val="af-ZA"/>
              </w:rPr>
              <w:t>eiten en hun geografische locatie</w:t>
            </w:r>
            <w:r w:rsidRPr="00755E56">
              <w:rPr>
                <w:noProof/>
                <w:lang w:val="af-ZA"/>
              </w:rPr>
              <w:t xml:space="preserve"> (</w:t>
            </w:r>
            <w:r>
              <w:rPr>
                <w:noProof/>
                <w:lang w:val="af-ZA"/>
              </w:rPr>
              <w:t>betrokken land</w:t>
            </w:r>
            <w:r w:rsidRPr="00755E56">
              <w:rPr>
                <w:noProof/>
                <w:lang w:val="af-ZA"/>
              </w:rPr>
              <w:t>) ;</w:t>
            </w:r>
          </w:p>
        </w:tc>
        <w:tc>
          <w:tcPr>
            <w:tcW w:w="4245" w:type="dxa"/>
          </w:tcPr>
          <w:p w:rsidR="00657D80" w:rsidRPr="00E20BC0" w:rsidRDefault="00657D80" w:rsidP="00657D80">
            <w:pPr>
              <w:numPr>
                <w:ilvl w:val="0"/>
                <w:numId w:val="12"/>
              </w:numPr>
              <w:spacing w:before="120" w:after="120"/>
              <w:jc w:val="both"/>
              <w:rPr>
                <w:lang w:val="fr-FR"/>
              </w:rPr>
            </w:pPr>
            <w:r>
              <w:rPr>
                <w:lang w:val="fr-FR"/>
              </w:rPr>
              <w:lastRenderedPageBreak/>
              <w:t xml:space="preserve">Leur(s) dénomination(s), la nature </w:t>
            </w:r>
            <w:r>
              <w:rPr>
                <w:lang w:val="fr-FR"/>
              </w:rPr>
              <w:lastRenderedPageBreak/>
              <w:t>de leurs acti</w:t>
            </w:r>
            <w:r w:rsidR="00797CE6">
              <w:rPr>
                <w:lang w:val="fr-FR"/>
              </w:rPr>
              <w:t>vi</w:t>
            </w:r>
            <w:r>
              <w:rPr>
                <w:lang w:val="fr-FR"/>
              </w:rPr>
              <w:t>tés et leur localisation géographique </w:t>
            </w:r>
            <w:r w:rsidR="00797CE6">
              <w:rPr>
                <w:lang w:val="fr-FR"/>
              </w:rPr>
              <w:t xml:space="preserve">(pays concerné) </w:t>
            </w:r>
            <w:r>
              <w:rPr>
                <w:lang w:val="fr-FR"/>
              </w:rPr>
              <w:t>;</w:t>
            </w:r>
          </w:p>
        </w:tc>
      </w:tr>
      <w:tr w:rsidR="00657D80" w:rsidRPr="003563C7" w:rsidTr="00657D80">
        <w:tc>
          <w:tcPr>
            <w:tcW w:w="4503" w:type="dxa"/>
          </w:tcPr>
          <w:p w:rsidR="00657D80" w:rsidRPr="00642E2C" w:rsidRDefault="00755E56" w:rsidP="00755E56">
            <w:pPr>
              <w:spacing w:before="120" w:after="120"/>
              <w:jc w:val="both"/>
              <w:rPr>
                <w:noProof/>
                <w:lang w:val="af-ZA"/>
              </w:rPr>
            </w:pPr>
            <w:r w:rsidRPr="00755E56">
              <w:rPr>
                <w:noProof/>
                <w:lang w:val="af-ZA"/>
              </w:rPr>
              <w:lastRenderedPageBreak/>
              <w:t>B.</w:t>
            </w:r>
            <w:r w:rsidRPr="00755E56">
              <w:rPr>
                <w:noProof/>
                <w:lang w:val="af-ZA"/>
              </w:rPr>
              <w:tab/>
            </w:r>
            <w:r>
              <w:rPr>
                <w:noProof/>
                <w:lang w:val="af-ZA"/>
              </w:rPr>
              <w:t>hun omzet</w:t>
            </w:r>
            <w:r w:rsidRPr="00755E56">
              <w:rPr>
                <w:noProof/>
                <w:lang w:val="af-ZA"/>
              </w:rPr>
              <w:t xml:space="preserve"> ;</w:t>
            </w:r>
          </w:p>
        </w:tc>
        <w:tc>
          <w:tcPr>
            <w:tcW w:w="4245" w:type="dxa"/>
          </w:tcPr>
          <w:p w:rsidR="00657D80" w:rsidRDefault="00657D80" w:rsidP="00657D80">
            <w:pPr>
              <w:numPr>
                <w:ilvl w:val="0"/>
                <w:numId w:val="12"/>
              </w:numPr>
              <w:spacing w:before="120" w:after="120"/>
              <w:jc w:val="both"/>
              <w:rPr>
                <w:lang w:val="fr-FR"/>
              </w:rPr>
            </w:pPr>
            <w:r>
              <w:rPr>
                <w:lang w:val="fr-FR"/>
              </w:rPr>
              <w:t>leur chiffre d’affaires ;</w:t>
            </w:r>
          </w:p>
        </w:tc>
      </w:tr>
      <w:tr w:rsidR="00657D80" w:rsidRPr="00305C5B" w:rsidTr="00657D80">
        <w:tc>
          <w:tcPr>
            <w:tcW w:w="4503" w:type="dxa"/>
          </w:tcPr>
          <w:p w:rsidR="00657D80" w:rsidRPr="00642E2C" w:rsidRDefault="00755E56" w:rsidP="00755E56">
            <w:pPr>
              <w:spacing w:before="120" w:after="120"/>
              <w:jc w:val="both"/>
              <w:rPr>
                <w:noProof/>
                <w:lang w:val="af-ZA"/>
              </w:rPr>
            </w:pPr>
            <w:r w:rsidRPr="00755E56">
              <w:rPr>
                <w:noProof/>
                <w:lang w:val="af-ZA"/>
              </w:rPr>
              <w:t>C.</w:t>
            </w:r>
            <w:r w:rsidRPr="00755E56">
              <w:rPr>
                <w:noProof/>
                <w:lang w:val="af-ZA"/>
              </w:rPr>
              <w:tab/>
            </w:r>
            <w:r>
              <w:rPr>
                <w:noProof/>
                <w:lang w:val="af-ZA"/>
              </w:rPr>
              <w:t>hun aantal werknemers in voltijdse equivalenten</w:t>
            </w:r>
            <w:r w:rsidRPr="00755E56">
              <w:rPr>
                <w:noProof/>
                <w:lang w:val="af-ZA"/>
              </w:rPr>
              <w:t xml:space="preserve"> ;</w:t>
            </w:r>
          </w:p>
        </w:tc>
        <w:tc>
          <w:tcPr>
            <w:tcW w:w="4245" w:type="dxa"/>
          </w:tcPr>
          <w:p w:rsidR="00657D80" w:rsidRDefault="00657D80" w:rsidP="005160C2">
            <w:pPr>
              <w:numPr>
                <w:ilvl w:val="0"/>
                <w:numId w:val="12"/>
              </w:numPr>
              <w:spacing w:before="120" w:after="120"/>
              <w:jc w:val="both"/>
              <w:rPr>
                <w:lang w:val="fr-FR"/>
              </w:rPr>
            </w:pPr>
            <w:r>
              <w:rPr>
                <w:lang w:val="fr-FR"/>
              </w:rPr>
              <w:t>leur nombre de salariés sur une base équivalent temps plein ;</w:t>
            </w:r>
          </w:p>
        </w:tc>
      </w:tr>
      <w:tr w:rsidR="00657D80" w:rsidRPr="00305C5B" w:rsidTr="00657D80">
        <w:tc>
          <w:tcPr>
            <w:tcW w:w="4503" w:type="dxa"/>
          </w:tcPr>
          <w:p w:rsidR="00657D80" w:rsidRPr="00642E2C" w:rsidRDefault="00755E56" w:rsidP="00755E56">
            <w:pPr>
              <w:spacing w:before="120" w:after="120"/>
              <w:jc w:val="both"/>
              <w:rPr>
                <w:noProof/>
                <w:lang w:val="af-ZA"/>
              </w:rPr>
            </w:pPr>
            <w:r w:rsidRPr="00755E56">
              <w:rPr>
                <w:noProof/>
                <w:lang w:val="af-ZA"/>
              </w:rPr>
              <w:t>D.</w:t>
            </w:r>
            <w:r w:rsidRPr="00755E56">
              <w:rPr>
                <w:noProof/>
                <w:lang w:val="af-ZA"/>
              </w:rPr>
              <w:tab/>
            </w:r>
            <w:r>
              <w:rPr>
                <w:noProof/>
                <w:lang w:val="af-ZA"/>
              </w:rPr>
              <w:t xml:space="preserve">hun winst </w:t>
            </w:r>
            <w:r w:rsidRPr="00755E56">
              <w:rPr>
                <w:noProof/>
                <w:lang w:val="af-ZA"/>
              </w:rPr>
              <w:t>(</w:t>
            </w:r>
            <w:r>
              <w:rPr>
                <w:noProof/>
                <w:lang w:val="af-ZA"/>
              </w:rPr>
              <w:t>verlies</w:t>
            </w:r>
            <w:r w:rsidRPr="00755E56">
              <w:rPr>
                <w:noProof/>
                <w:lang w:val="af-ZA"/>
              </w:rPr>
              <w:t xml:space="preserve">) </w:t>
            </w:r>
            <w:r>
              <w:rPr>
                <w:noProof/>
                <w:lang w:val="af-ZA"/>
              </w:rPr>
              <w:t>vóór belastingen</w:t>
            </w:r>
            <w:r w:rsidRPr="00755E56">
              <w:rPr>
                <w:noProof/>
                <w:lang w:val="af-ZA"/>
              </w:rPr>
              <w:t xml:space="preserve"> ;</w:t>
            </w:r>
          </w:p>
        </w:tc>
        <w:tc>
          <w:tcPr>
            <w:tcW w:w="4245" w:type="dxa"/>
          </w:tcPr>
          <w:p w:rsidR="00657D80" w:rsidRDefault="00657D80">
            <w:pPr>
              <w:numPr>
                <w:ilvl w:val="0"/>
                <w:numId w:val="12"/>
              </w:numPr>
              <w:spacing w:before="120" w:after="120"/>
              <w:jc w:val="both"/>
              <w:rPr>
                <w:lang w:val="fr-FR"/>
              </w:rPr>
            </w:pPr>
            <w:r>
              <w:rPr>
                <w:lang w:val="fr-FR"/>
              </w:rPr>
              <w:t>leur bénéfice (perte) avant impôt ;</w:t>
            </w:r>
          </w:p>
        </w:tc>
      </w:tr>
      <w:tr w:rsidR="00657D80" w:rsidRPr="00305C5B" w:rsidTr="00657D80">
        <w:tc>
          <w:tcPr>
            <w:tcW w:w="4503" w:type="dxa"/>
          </w:tcPr>
          <w:p w:rsidR="00657D80" w:rsidRPr="00642E2C" w:rsidRDefault="00755E56" w:rsidP="00755E56">
            <w:pPr>
              <w:spacing w:before="120" w:after="120"/>
              <w:jc w:val="both"/>
              <w:rPr>
                <w:noProof/>
                <w:lang w:val="af-ZA"/>
              </w:rPr>
            </w:pPr>
            <w:r w:rsidRPr="00755E56">
              <w:rPr>
                <w:noProof/>
                <w:lang w:val="af-ZA"/>
              </w:rPr>
              <w:t>E.</w:t>
            </w:r>
            <w:r w:rsidRPr="00755E56">
              <w:rPr>
                <w:noProof/>
                <w:lang w:val="af-ZA"/>
              </w:rPr>
              <w:tab/>
            </w:r>
            <w:r>
              <w:rPr>
                <w:noProof/>
                <w:lang w:val="af-ZA"/>
              </w:rPr>
              <w:t>de belastingen op het resultaat</w:t>
            </w:r>
            <w:r w:rsidRPr="00755E56">
              <w:rPr>
                <w:noProof/>
                <w:lang w:val="af-ZA"/>
              </w:rPr>
              <w:t xml:space="preserve"> ;</w:t>
            </w:r>
          </w:p>
        </w:tc>
        <w:tc>
          <w:tcPr>
            <w:tcW w:w="4245" w:type="dxa"/>
          </w:tcPr>
          <w:p w:rsidR="00657D80" w:rsidRDefault="00657D80">
            <w:pPr>
              <w:numPr>
                <w:ilvl w:val="0"/>
                <w:numId w:val="12"/>
              </w:numPr>
              <w:spacing w:before="120" w:after="120"/>
              <w:jc w:val="both"/>
              <w:rPr>
                <w:lang w:val="fr-FR"/>
              </w:rPr>
            </w:pPr>
            <w:r>
              <w:rPr>
                <w:lang w:val="fr-FR"/>
              </w:rPr>
              <w:t>les impôts sur le résultat ;</w:t>
            </w:r>
          </w:p>
        </w:tc>
      </w:tr>
      <w:tr w:rsidR="00657D80" w:rsidRPr="00305C5B" w:rsidTr="00657D80">
        <w:tc>
          <w:tcPr>
            <w:tcW w:w="4503" w:type="dxa"/>
          </w:tcPr>
          <w:p w:rsidR="00657D80" w:rsidRPr="00642E2C" w:rsidRDefault="00755E56" w:rsidP="0069560A">
            <w:pPr>
              <w:pStyle w:val="Lijstalinea"/>
              <w:numPr>
                <w:ilvl w:val="0"/>
                <w:numId w:val="12"/>
              </w:numPr>
              <w:spacing w:before="120" w:after="120"/>
              <w:ind w:hanging="720"/>
              <w:jc w:val="both"/>
              <w:rPr>
                <w:noProof/>
                <w:lang w:val="af-ZA"/>
              </w:rPr>
            </w:pPr>
            <w:r>
              <w:rPr>
                <w:noProof/>
                <w:lang w:val="af-ZA"/>
              </w:rPr>
              <w:t>de ontvangen overheidssubsidies.</w:t>
            </w:r>
          </w:p>
        </w:tc>
        <w:tc>
          <w:tcPr>
            <w:tcW w:w="4245" w:type="dxa"/>
          </w:tcPr>
          <w:p w:rsidR="00657D80" w:rsidRPr="00657D80" w:rsidRDefault="00C25CFF" w:rsidP="0069560A">
            <w:pPr>
              <w:spacing w:before="120" w:after="120"/>
              <w:ind w:left="360"/>
              <w:jc w:val="both"/>
              <w:rPr>
                <w:lang w:val="fr-FR"/>
              </w:rPr>
            </w:pPr>
            <w:r>
              <w:rPr>
                <w:lang w:val="fr-FR"/>
              </w:rPr>
              <w:t xml:space="preserve">F. </w:t>
            </w:r>
            <w:r w:rsidR="00657D80" w:rsidRPr="00657D80">
              <w:rPr>
                <w:lang w:val="fr-FR"/>
              </w:rPr>
              <w:t>les subventions publiques reçues. </w:t>
            </w:r>
          </w:p>
        </w:tc>
      </w:tr>
      <w:tr w:rsidR="00657D80" w:rsidRPr="00305C5B" w:rsidTr="00C221B4">
        <w:tc>
          <w:tcPr>
            <w:tcW w:w="4503" w:type="dxa"/>
          </w:tcPr>
          <w:p w:rsidR="00657D80" w:rsidRPr="00642E2C" w:rsidRDefault="00755E56" w:rsidP="00355D4A">
            <w:pPr>
              <w:spacing w:before="120" w:after="120"/>
              <w:jc w:val="both"/>
              <w:rPr>
                <w:noProof/>
                <w:lang w:val="af-ZA"/>
              </w:rPr>
            </w:pPr>
            <w:r w:rsidRPr="00642E2C">
              <w:rPr>
                <w:noProof/>
                <w:lang w:val="af-ZA"/>
              </w:rPr>
              <w:t xml:space="preserve">Voor de toepassing </w:t>
            </w:r>
            <w:r w:rsidR="00687F3D" w:rsidRPr="00642E2C">
              <w:rPr>
                <w:noProof/>
                <w:lang w:val="af-ZA"/>
              </w:rPr>
              <w:t xml:space="preserve">van de onderhavige bepaling zijn de landen waarvoor de informatie moet worden gegeven, die landen waarin de instelling </w:t>
            </w:r>
            <w:r w:rsidR="00687F3D">
              <w:rPr>
                <w:noProof/>
                <w:lang w:val="af-ZA"/>
              </w:rPr>
              <w:t>rechtstreeks of onrechtstreeks is gevestigd via entiteiten die zijn opgenomen in de consolidatiekring zoals bepaald in artikel 5 van het voorliggende besluit.</w:t>
            </w:r>
            <w:r w:rsidR="00AE0ED2">
              <w:rPr>
                <w:noProof/>
                <w:lang w:val="af-ZA"/>
              </w:rPr>
              <w:t xml:space="preserve"> </w:t>
            </w:r>
          </w:p>
        </w:tc>
        <w:tc>
          <w:tcPr>
            <w:tcW w:w="4245" w:type="dxa"/>
          </w:tcPr>
          <w:p w:rsidR="00657D80" w:rsidRPr="00B569AF" w:rsidRDefault="001F7789" w:rsidP="00FE5266">
            <w:pPr>
              <w:spacing w:before="120" w:after="120"/>
              <w:jc w:val="both"/>
              <w:rPr>
                <w:b/>
                <w:noProof/>
                <w:lang w:val="af-ZA"/>
              </w:rPr>
            </w:pPr>
            <w:r>
              <w:rPr>
                <w:noProof/>
                <w:lang w:val="af-ZA"/>
              </w:rPr>
              <w:t>Pour l’application de la présente disposition l</w:t>
            </w:r>
            <w:r>
              <w:rPr>
                <w:noProof/>
                <w:lang w:val="fr-FR"/>
              </w:rPr>
              <w:t xml:space="preserve">es pays </w:t>
            </w:r>
            <w:r w:rsidR="007265BA">
              <w:rPr>
                <w:noProof/>
                <w:lang w:val="fr-FR"/>
              </w:rPr>
              <w:t xml:space="preserve">pour lesquels l’information doit être donnée sont ceux dans lesquels </w:t>
            </w:r>
            <w:r>
              <w:rPr>
                <w:noProof/>
                <w:lang w:val="fr-FR"/>
              </w:rPr>
              <w:t xml:space="preserve">l’établissement est établi </w:t>
            </w:r>
            <w:r w:rsidR="007265BA">
              <w:rPr>
                <w:noProof/>
                <w:lang w:val="fr-FR"/>
              </w:rPr>
              <w:t>directement ou indirectement au travers des entités qui sont incluses dans le pér</w:t>
            </w:r>
            <w:r>
              <w:rPr>
                <w:noProof/>
                <w:lang w:val="fr-FR"/>
              </w:rPr>
              <w:t>imètre de consolidation tel que défini à l’article 5 du présent arrêté.</w:t>
            </w:r>
          </w:p>
        </w:tc>
      </w:tr>
      <w:tr w:rsidR="00657D80" w:rsidRPr="00305C5B" w:rsidTr="00C221B4">
        <w:tc>
          <w:tcPr>
            <w:tcW w:w="4503" w:type="dxa"/>
          </w:tcPr>
          <w:p w:rsidR="00B34DE0" w:rsidRPr="00642E2C" w:rsidRDefault="00687F3D" w:rsidP="00013AD7">
            <w:pPr>
              <w:spacing w:before="120" w:after="120"/>
              <w:jc w:val="both"/>
              <w:rPr>
                <w:noProof/>
                <w:lang w:val="af-ZA"/>
              </w:rPr>
            </w:pPr>
            <w:r w:rsidRPr="00642E2C">
              <w:rPr>
                <w:noProof/>
                <w:lang w:val="af-ZA"/>
              </w:rPr>
              <w:t>De instellingen</w:t>
            </w:r>
            <w:r w:rsidR="00B34DE0">
              <w:rPr>
                <w:noProof/>
                <w:lang w:val="af-ZA"/>
              </w:rPr>
              <w:t xml:space="preserve"> specificeren, </w:t>
            </w:r>
            <w:r w:rsidR="00013AD7">
              <w:rPr>
                <w:noProof/>
                <w:lang w:val="af-ZA"/>
              </w:rPr>
              <w:t>achter</w:t>
            </w:r>
            <w:r w:rsidR="00B34DE0">
              <w:rPr>
                <w:noProof/>
                <w:lang w:val="af-ZA"/>
              </w:rPr>
              <w:t xml:space="preserve"> de voornoemde gegevens, de voor </w:t>
            </w:r>
            <w:r w:rsidR="00FE5266">
              <w:rPr>
                <w:noProof/>
                <w:lang w:val="af-ZA"/>
              </w:rPr>
              <w:t>hun</w:t>
            </w:r>
            <w:r w:rsidR="00B34DE0">
              <w:rPr>
                <w:noProof/>
                <w:lang w:val="af-ZA"/>
              </w:rPr>
              <w:t xml:space="preserve"> berekening gehanteerde definities. Die definities dienen in overeenstemming te zijn met de geconsolideerde </w:t>
            </w:r>
            <w:r w:rsidR="00D97008">
              <w:rPr>
                <w:noProof/>
                <w:lang w:val="af-ZA"/>
              </w:rPr>
              <w:t>jaar</w:t>
            </w:r>
            <w:r w:rsidR="00B34DE0">
              <w:rPr>
                <w:noProof/>
                <w:lang w:val="af-ZA"/>
              </w:rPr>
              <w:t>rekening van de instelling.</w:t>
            </w:r>
          </w:p>
        </w:tc>
        <w:tc>
          <w:tcPr>
            <w:tcW w:w="4245" w:type="dxa"/>
          </w:tcPr>
          <w:p w:rsidR="00657D80" w:rsidRPr="00B569AF" w:rsidRDefault="001F7789">
            <w:pPr>
              <w:spacing w:before="120" w:after="120"/>
              <w:jc w:val="both"/>
              <w:rPr>
                <w:b/>
                <w:noProof/>
                <w:lang w:val="af-ZA"/>
              </w:rPr>
            </w:pPr>
            <w:r w:rsidRPr="00642E2C">
              <w:rPr>
                <w:noProof/>
                <w:lang w:val="af-ZA"/>
              </w:rPr>
              <w:t>Les établissements indiquent</w:t>
            </w:r>
            <w:r w:rsidR="00DF1F51">
              <w:rPr>
                <w:noProof/>
                <w:lang w:val="af-ZA"/>
              </w:rPr>
              <w:t>, à la suite des données précitées,</w:t>
            </w:r>
            <w:r w:rsidRPr="00642E2C">
              <w:rPr>
                <w:noProof/>
                <w:lang w:val="af-ZA"/>
              </w:rPr>
              <w:t xml:space="preserve"> les définitions retenues pour </w:t>
            </w:r>
            <w:r w:rsidR="00DF1F51">
              <w:rPr>
                <w:noProof/>
                <w:lang w:val="af-ZA"/>
              </w:rPr>
              <w:t>leur calcul</w:t>
            </w:r>
            <w:r w:rsidRPr="00642E2C">
              <w:rPr>
                <w:noProof/>
                <w:lang w:val="af-ZA"/>
              </w:rPr>
              <w:t xml:space="preserve">. Ces définitions doivent être cohérentes avec les </w:t>
            </w:r>
            <w:r w:rsidR="00DF1F51" w:rsidRPr="00642E2C">
              <w:rPr>
                <w:noProof/>
                <w:lang w:val="af-ZA"/>
              </w:rPr>
              <w:t>comptes consolidés de l’établissement.</w:t>
            </w:r>
          </w:p>
        </w:tc>
      </w:tr>
      <w:tr w:rsidR="00797CE6" w:rsidRPr="00305C5B" w:rsidTr="00C221B4">
        <w:tc>
          <w:tcPr>
            <w:tcW w:w="4503" w:type="dxa"/>
          </w:tcPr>
          <w:p w:rsidR="00797CE6" w:rsidRPr="00642E2C" w:rsidRDefault="00B34DE0" w:rsidP="004B3CCB">
            <w:pPr>
              <w:spacing w:before="120" w:after="120"/>
              <w:jc w:val="both"/>
              <w:rPr>
                <w:noProof/>
                <w:lang w:val="af-ZA"/>
              </w:rPr>
            </w:pPr>
            <w:r w:rsidRPr="00642E2C">
              <w:rPr>
                <w:noProof/>
                <w:lang w:val="af-ZA"/>
              </w:rPr>
              <w:t xml:space="preserve">De onderhavige bepaling is </w:t>
            </w:r>
            <w:r w:rsidR="00013AD7">
              <w:rPr>
                <w:noProof/>
                <w:lang w:val="af-ZA"/>
              </w:rPr>
              <w:t>alleen</w:t>
            </w:r>
            <w:r w:rsidRPr="00642E2C">
              <w:rPr>
                <w:noProof/>
                <w:lang w:val="af-ZA"/>
              </w:rPr>
              <w:t xml:space="preserve"> van toepassing op de instellingen als bedoeld in artikel 4, lid 1, </w:t>
            </w:r>
            <w:r w:rsidR="00D97008">
              <w:rPr>
                <w:noProof/>
                <w:lang w:val="af-ZA"/>
              </w:rPr>
              <w:t xml:space="preserve">punt </w:t>
            </w:r>
            <w:r w:rsidRPr="00642E2C">
              <w:rPr>
                <w:noProof/>
                <w:lang w:val="af-ZA"/>
              </w:rPr>
              <w:t xml:space="preserve">3 van </w:t>
            </w:r>
            <w:r w:rsidR="004B3CCB">
              <w:rPr>
                <w:noProof/>
                <w:lang w:val="af-ZA"/>
              </w:rPr>
              <w:t>v</w:t>
            </w:r>
            <w:r w:rsidR="005867F9" w:rsidRPr="00642E2C">
              <w:rPr>
                <w:noProof/>
                <w:lang w:val="af-ZA"/>
              </w:rPr>
              <w:t xml:space="preserve">erordening (EU) nr. 575/2013 van het Europees Parlement en de Raad van 26 juni 2013 betreffende prudentiële vereisten voor kredietinstellingen en beleggingsondernemingen en tot wijziging van </w:t>
            </w:r>
            <w:r w:rsidR="004B3CCB">
              <w:rPr>
                <w:noProof/>
                <w:lang w:val="af-ZA"/>
              </w:rPr>
              <w:t>v</w:t>
            </w:r>
            <w:r w:rsidR="005867F9" w:rsidRPr="00642E2C">
              <w:rPr>
                <w:noProof/>
                <w:lang w:val="af-ZA"/>
              </w:rPr>
              <w:t>erordening (EU) nr. 648/2012.</w:t>
            </w:r>
            <w:r w:rsidR="005867F9" w:rsidRPr="00642E2C">
              <w:rPr>
                <w:color w:val="FF0000"/>
                <w:lang w:val="nl-BE"/>
              </w:rPr>
              <w:t xml:space="preserve"> </w:t>
            </w:r>
            <w:r w:rsidR="005867F9" w:rsidRPr="00642E2C">
              <w:rPr>
                <w:noProof/>
                <w:lang w:val="nl-BE"/>
              </w:rPr>
              <w:t>»</w:t>
            </w:r>
            <w:r w:rsidR="006010B7">
              <w:rPr>
                <w:noProof/>
                <w:lang w:val="nl-BE"/>
              </w:rPr>
              <w:t>.</w:t>
            </w:r>
          </w:p>
        </w:tc>
        <w:tc>
          <w:tcPr>
            <w:tcW w:w="4245" w:type="dxa"/>
          </w:tcPr>
          <w:p w:rsidR="00797CE6" w:rsidRPr="00B569AF" w:rsidRDefault="00797CE6" w:rsidP="00157B7E">
            <w:pPr>
              <w:spacing w:before="120" w:after="120"/>
              <w:jc w:val="both"/>
              <w:rPr>
                <w:b/>
                <w:noProof/>
                <w:lang w:val="af-ZA"/>
              </w:rPr>
            </w:pPr>
            <w:r>
              <w:rPr>
                <w:noProof/>
                <w:lang w:val="fr-FR"/>
              </w:rPr>
              <w:t xml:space="preserve">La présente disposition </w:t>
            </w:r>
            <w:r w:rsidR="00212919">
              <w:rPr>
                <w:noProof/>
                <w:lang w:val="fr-FR"/>
              </w:rPr>
              <w:t>n’</w:t>
            </w:r>
            <w:r>
              <w:rPr>
                <w:noProof/>
                <w:lang w:val="fr-FR"/>
              </w:rPr>
              <w:t xml:space="preserve">est applicable </w:t>
            </w:r>
            <w:r w:rsidR="00212919" w:rsidRPr="00642E2C">
              <w:rPr>
                <w:noProof/>
                <w:color w:val="000000" w:themeColor="text1"/>
                <w:lang w:val="fr-FR"/>
              </w:rPr>
              <w:t>qu’</w:t>
            </w:r>
            <w:r w:rsidRPr="00642E2C">
              <w:rPr>
                <w:noProof/>
                <w:color w:val="000000" w:themeColor="text1"/>
                <w:lang w:val="fr-FR"/>
              </w:rPr>
              <w:t xml:space="preserve">aux établissements visés à l’article </w:t>
            </w:r>
            <w:r w:rsidRPr="00642E2C">
              <w:rPr>
                <w:color w:val="000000" w:themeColor="text1"/>
                <w:lang w:val="fr-FR"/>
              </w:rPr>
              <w:t xml:space="preserve">4, </w:t>
            </w:r>
            <w:r w:rsidR="0069560A">
              <w:rPr>
                <w:color w:val="000000" w:themeColor="text1"/>
                <w:lang w:val="fr-FR"/>
              </w:rPr>
              <w:t xml:space="preserve">paragraphe </w:t>
            </w:r>
            <w:r w:rsidRPr="00642E2C">
              <w:rPr>
                <w:color w:val="000000" w:themeColor="text1"/>
                <w:lang w:val="fr-FR"/>
              </w:rPr>
              <w:t>1</w:t>
            </w:r>
            <w:r w:rsidRPr="00642E2C">
              <w:rPr>
                <w:color w:val="000000" w:themeColor="text1"/>
                <w:vertAlign w:val="superscript"/>
                <w:lang w:val="fr-FR"/>
              </w:rPr>
              <w:t>er</w:t>
            </w:r>
            <w:r w:rsidRPr="00642E2C">
              <w:rPr>
                <w:color w:val="000000" w:themeColor="text1"/>
                <w:lang w:val="fr-FR"/>
              </w:rPr>
              <w:t>, 3</w:t>
            </w:r>
            <w:r w:rsidR="00425B6A">
              <w:rPr>
                <w:color w:val="000000" w:themeColor="text1"/>
                <w:lang w:val="fr-FR"/>
              </w:rPr>
              <w:t>,</w:t>
            </w:r>
            <w:r w:rsidRPr="00642E2C">
              <w:rPr>
                <w:color w:val="000000" w:themeColor="text1"/>
                <w:lang w:val="fr-FR"/>
              </w:rPr>
              <w:t xml:space="preserve"> du </w:t>
            </w:r>
            <w:r w:rsidR="006010B7">
              <w:rPr>
                <w:color w:val="000000" w:themeColor="text1"/>
                <w:lang w:val="fr-FR"/>
              </w:rPr>
              <w:t>r</w:t>
            </w:r>
            <w:r w:rsidRPr="00642E2C">
              <w:rPr>
                <w:color w:val="000000" w:themeColor="text1"/>
                <w:lang w:val="fr-FR"/>
              </w:rPr>
              <w:t xml:space="preserve">èglement (UE) </w:t>
            </w:r>
            <w:r w:rsidR="00D70E30">
              <w:rPr>
                <w:color w:val="000000" w:themeColor="text1"/>
                <w:lang w:val="fr-FR"/>
              </w:rPr>
              <w:t>n</w:t>
            </w:r>
            <w:r w:rsidRPr="00642E2C">
              <w:rPr>
                <w:color w:val="000000" w:themeColor="text1"/>
                <w:lang w:val="fr-FR"/>
              </w:rPr>
              <w:t>° 575/2013 du Parlement européen et du Conseil du 26 juin 2013 concernant les exigences prudentielles applicables aux établissements de crédit et aux entreprises d’investissement et modifiant le règlement (UE) n° 648/2012.</w:t>
            </w:r>
            <w:r w:rsidR="00212919" w:rsidRPr="00642E2C">
              <w:rPr>
                <w:color w:val="000000" w:themeColor="text1"/>
                <w:lang w:val="fr-FR"/>
              </w:rPr>
              <w:t> »</w:t>
            </w:r>
            <w:r w:rsidR="006010B7">
              <w:rPr>
                <w:color w:val="000000" w:themeColor="text1"/>
                <w:lang w:val="fr-FR"/>
              </w:rPr>
              <w:t>.</w:t>
            </w:r>
          </w:p>
        </w:tc>
      </w:tr>
      <w:tr w:rsidR="00226A8F" w:rsidRPr="00305C5B" w:rsidTr="00C221B4">
        <w:tc>
          <w:tcPr>
            <w:tcW w:w="4503" w:type="dxa"/>
          </w:tcPr>
          <w:p w:rsidR="00226A8F" w:rsidRPr="00130C74" w:rsidRDefault="009128C4" w:rsidP="009128C4">
            <w:pPr>
              <w:spacing w:before="120" w:after="120"/>
              <w:jc w:val="both"/>
              <w:rPr>
                <w:b/>
                <w:noProof/>
                <w:lang w:val="af-ZA"/>
              </w:rPr>
            </w:pPr>
            <w:r w:rsidRPr="00130C74">
              <w:rPr>
                <w:b/>
                <w:noProof/>
                <w:lang w:val="af-ZA"/>
              </w:rPr>
              <w:t>Art.4.</w:t>
            </w:r>
            <w:r>
              <w:rPr>
                <w:b/>
                <w:noProof/>
                <w:lang w:val="af-ZA"/>
              </w:rPr>
              <w:t xml:space="preserve"> </w:t>
            </w:r>
            <w:r w:rsidRPr="00130C74">
              <w:rPr>
                <w:noProof/>
                <w:lang w:val="af-ZA"/>
              </w:rPr>
              <w:t>De informatie die conform dit besluit verplicht gepubliceerd moet worden, di</w:t>
            </w:r>
            <w:r>
              <w:rPr>
                <w:noProof/>
                <w:lang w:val="af-ZA"/>
              </w:rPr>
              <w:t>en</w:t>
            </w:r>
            <w:r w:rsidRPr="00130C74">
              <w:rPr>
                <w:noProof/>
                <w:lang w:val="af-ZA"/>
              </w:rPr>
              <w:t>t bekend te worden gemaakt in de toelichting bij de jaar- of geconsolideerde rekeningen gepubliceerd vanaf 1 januari 2015.</w:t>
            </w:r>
          </w:p>
        </w:tc>
        <w:tc>
          <w:tcPr>
            <w:tcW w:w="4245" w:type="dxa"/>
          </w:tcPr>
          <w:p w:rsidR="00226A8F" w:rsidRPr="00B569AF" w:rsidRDefault="00C61097" w:rsidP="007F4186">
            <w:pPr>
              <w:spacing w:before="120" w:after="120"/>
              <w:jc w:val="both"/>
              <w:rPr>
                <w:noProof/>
                <w:color w:val="FF0000"/>
                <w:lang w:val="af-ZA"/>
              </w:rPr>
            </w:pPr>
            <w:r w:rsidRPr="007F4186">
              <w:rPr>
                <w:b/>
                <w:noProof/>
                <w:lang w:val="af-ZA"/>
              </w:rPr>
              <w:t>Art.4.</w:t>
            </w:r>
            <w:r w:rsidRPr="00130C74">
              <w:rPr>
                <w:noProof/>
                <w:lang w:val="af-ZA"/>
              </w:rPr>
              <w:t xml:space="preserve"> Les informations dont la publication est requise en vertu du présent arrêté doivent être rendues publiques en annexe des comptes annuels ou consolidés publiés à partir du 1er janvier 2015.</w:t>
            </w:r>
          </w:p>
        </w:tc>
      </w:tr>
    </w:tbl>
    <w:p w:rsidR="00BD1B1E" w:rsidRPr="007F4186" w:rsidRDefault="00BD1B1E">
      <w:pPr>
        <w:rPr>
          <w:lang w:val="fr-BE"/>
        </w:rPr>
      </w:pPr>
      <w:r w:rsidRPr="007F4186">
        <w:rPr>
          <w:lang w:val="fr-BE"/>
        </w:rPr>
        <w:br w:type="page"/>
      </w:r>
    </w:p>
    <w:tbl>
      <w:tblPr>
        <w:tblW w:w="0" w:type="auto"/>
        <w:tblLayout w:type="fixed"/>
        <w:tblLook w:val="01E0"/>
      </w:tblPr>
      <w:tblGrid>
        <w:gridCol w:w="4503"/>
        <w:gridCol w:w="4245"/>
      </w:tblGrid>
      <w:tr w:rsidR="00226A8F" w:rsidRPr="00305C5B" w:rsidTr="00C221B4">
        <w:tc>
          <w:tcPr>
            <w:tcW w:w="4503" w:type="dxa"/>
          </w:tcPr>
          <w:p w:rsidR="00226A8F" w:rsidRPr="00B926B6" w:rsidRDefault="00226A8F" w:rsidP="00C61097">
            <w:pPr>
              <w:spacing w:before="120" w:after="120"/>
              <w:jc w:val="both"/>
              <w:rPr>
                <w:noProof/>
                <w:lang w:val="af-ZA"/>
              </w:rPr>
            </w:pPr>
            <w:r w:rsidRPr="00B926B6">
              <w:rPr>
                <w:b/>
                <w:noProof/>
                <w:lang w:val="af-ZA"/>
              </w:rPr>
              <w:lastRenderedPageBreak/>
              <w:t xml:space="preserve">Art. </w:t>
            </w:r>
            <w:r w:rsidR="00C61097">
              <w:rPr>
                <w:b/>
                <w:noProof/>
                <w:lang w:val="af-ZA"/>
              </w:rPr>
              <w:t>5</w:t>
            </w:r>
            <w:r w:rsidRPr="00B926B6">
              <w:rPr>
                <w:b/>
                <w:noProof/>
                <w:lang w:val="af-ZA"/>
              </w:rPr>
              <w:t>.</w:t>
            </w:r>
            <w:r>
              <w:rPr>
                <w:b/>
                <w:noProof/>
                <w:lang w:val="af-ZA"/>
              </w:rPr>
              <w:t xml:space="preserve"> </w:t>
            </w:r>
            <w:r w:rsidRPr="00B926B6">
              <w:rPr>
                <w:noProof/>
                <w:lang w:val="af-ZA"/>
              </w:rPr>
              <w:t>De minister bevoegd voor Financiën is belast met de uitvoering van dit besluit.</w:t>
            </w:r>
          </w:p>
        </w:tc>
        <w:tc>
          <w:tcPr>
            <w:tcW w:w="4245" w:type="dxa"/>
          </w:tcPr>
          <w:p w:rsidR="00226A8F" w:rsidRPr="00B926B6" w:rsidRDefault="00226A8F" w:rsidP="00C61097">
            <w:pPr>
              <w:spacing w:before="120" w:after="120"/>
              <w:jc w:val="both"/>
              <w:rPr>
                <w:noProof/>
                <w:lang w:val="af-ZA"/>
              </w:rPr>
            </w:pPr>
            <w:r w:rsidRPr="00B926B6">
              <w:rPr>
                <w:b/>
                <w:noProof/>
                <w:lang w:val="af-ZA"/>
              </w:rPr>
              <w:t xml:space="preserve">Art. </w:t>
            </w:r>
            <w:r w:rsidR="00C61097">
              <w:rPr>
                <w:b/>
                <w:noProof/>
                <w:lang w:val="af-ZA"/>
              </w:rPr>
              <w:t>5</w:t>
            </w:r>
            <w:r w:rsidRPr="00B926B6">
              <w:rPr>
                <w:b/>
                <w:noProof/>
                <w:lang w:val="af-ZA"/>
              </w:rPr>
              <w:t>.</w:t>
            </w:r>
            <w:r>
              <w:rPr>
                <w:b/>
                <w:noProof/>
                <w:lang w:val="af-ZA"/>
              </w:rPr>
              <w:t xml:space="preserve"> </w:t>
            </w:r>
            <w:r w:rsidRPr="00B926B6">
              <w:rPr>
                <w:noProof/>
                <w:lang w:val="af-ZA"/>
              </w:rPr>
              <w:t xml:space="preserve">Le </w:t>
            </w:r>
            <w:r w:rsidR="0009138B">
              <w:rPr>
                <w:noProof/>
                <w:lang w:val="af-ZA"/>
              </w:rPr>
              <w:t>m</w:t>
            </w:r>
            <w:r w:rsidRPr="00B926B6">
              <w:rPr>
                <w:noProof/>
                <w:lang w:val="af-ZA"/>
              </w:rPr>
              <w:t>inistre qui a les Finances dans ses attributions est chargé de l'exécution du présent arrêté.</w:t>
            </w:r>
          </w:p>
        </w:tc>
      </w:tr>
      <w:tr w:rsidR="00226A8F" w:rsidRPr="00B569AF" w:rsidTr="00460A55">
        <w:tc>
          <w:tcPr>
            <w:tcW w:w="4503" w:type="dxa"/>
          </w:tcPr>
          <w:p w:rsidR="00226A8F" w:rsidRPr="00B569AF" w:rsidRDefault="00226A8F" w:rsidP="0009138B">
            <w:pPr>
              <w:spacing w:before="120" w:after="120"/>
              <w:jc w:val="both"/>
              <w:rPr>
                <w:noProof/>
                <w:lang w:val="af-ZA"/>
              </w:rPr>
            </w:pPr>
            <w:r w:rsidRPr="00B569AF">
              <w:rPr>
                <w:noProof/>
                <w:lang w:val="af-ZA"/>
              </w:rPr>
              <w:t>...................., ....................201</w:t>
            </w:r>
            <w:r>
              <w:rPr>
                <w:noProof/>
                <w:lang w:val="af-ZA"/>
              </w:rPr>
              <w:t>4</w:t>
            </w:r>
            <w:r w:rsidRPr="00B569AF">
              <w:rPr>
                <w:noProof/>
                <w:lang w:val="af-ZA"/>
              </w:rPr>
              <w:t>.</w:t>
            </w:r>
          </w:p>
        </w:tc>
        <w:tc>
          <w:tcPr>
            <w:tcW w:w="4245" w:type="dxa"/>
          </w:tcPr>
          <w:p w:rsidR="00226A8F" w:rsidRPr="00B569AF" w:rsidRDefault="00226A8F" w:rsidP="0009138B">
            <w:pPr>
              <w:spacing w:before="120" w:after="120"/>
              <w:jc w:val="both"/>
              <w:rPr>
                <w:noProof/>
                <w:lang w:val="af-ZA"/>
              </w:rPr>
            </w:pPr>
            <w:r w:rsidRPr="00B569AF">
              <w:rPr>
                <w:noProof/>
                <w:lang w:val="af-ZA"/>
              </w:rPr>
              <w:t>..................., le....................201</w:t>
            </w:r>
            <w:r>
              <w:rPr>
                <w:noProof/>
                <w:lang w:val="af-ZA"/>
              </w:rPr>
              <w:t>4</w:t>
            </w:r>
            <w:r w:rsidRPr="00B569AF">
              <w:rPr>
                <w:noProof/>
                <w:lang w:val="af-ZA"/>
              </w:rPr>
              <w:t>.</w:t>
            </w:r>
          </w:p>
        </w:tc>
      </w:tr>
      <w:tr w:rsidR="00226A8F" w:rsidRPr="00B926B6" w:rsidTr="00460A55">
        <w:tc>
          <w:tcPr>
            <w:tcW w:w="4503" w:type="dxa"/>
          </w:tcPr>
          <w:p w:rsidR="00BD1B1E" w:rsidRDefault="00BD1B1E" w:rsidP="00460A55">
            <w:pPr>
              <w:spacing w:before="120" w:after="120"/>
              <w:jc w:val="center"/>
              <w:rPr>
                <w:noProof/>
                <w:lang w:val="af-ZA"/>
              </w:rPr>
            </w:pPr>
          </w:p>
          <w:p w:rsidR="00BD1B1E" w:rsidRDefault="00BD1B1E" w:rsidP="00460A55">
            <w:pPr>
              <w:spacing w:before="120" w:after="120"/>
              <w:jc w:val="center"/>
              <w:rPr>
                <w:noProof/>
                <w:lang w:val="af-ZA"/>
              </w:rPr>
            </w:pPr>
          </w:p>
          <w:p w:rsidR="00BD1B1E" w:rsidRDefault="00BD1B1E" w:rsidP="00460A55">
            <w:pPr>
              <w:spacing w:before="120" w:after="120"/>
              <w:jc w:val="center"/>
              <w:rPr>
                <w:noProof/>
                <w:lang w:val="af-ZA"/>
              </w:rPr>
            </w:pPr>
          </w:p>
          <w:p w:rsidR="00BD1B1E" w:rsidRDefault="00BD1B1E" w:rsidP="00460A55">
            <w:pPr>
              <w:spacing w:before="120" w:after="120"/>
              <w:jc w:val="center"/>
              <w:rPr>
                <w:noProof/>
                <w:lang w:val="af-ZA"/>
              </w:rPr>
            </w:pPr>
          </w:p>
          <w:p w:rsidR="00BD1B1E" w:rsidRDefault="00BD1B1E" w:rsidP="00460A55">
            <w:pPr>
              <w:spacing w:before="120" w:after="120"/>
              <w:jc w:val="center"/>
              <w:rPr>
                <w:noProof/>
                <w:lang w:val="af-ZA"/>
              </w:rPr>
            </w:pPr>
          </w:p>
          <w:p w:rsidR="00BD1B1E" w:rsidRDefault="00BD1B1E" w:rsidP="00460A55">
            <w:pPr>
              <w:spacing w:before="120" w:after="120"/>
              <w:jc w:val="center"/>
              <w:rPr>
                <w:noProof/>
                <w:lang w:val="af-ZA"/>
              </w:rPr>
            </w:pPr>
          </w:p>
          <w:p w:rsidR="00226A8F" w:rsidRPr="00B926B6" w:rsidRDefault="00226A8F" w:rsidP="00460A55">
            <w:pPr>
              <w:spacing w:before="120" w:after="120"/>
              <w:jc w:val="center"/>
              <w:rPr>
                <w:noProof/>
                <w:lang w:val="af-ZA"/>
              </w:rPr>
            </w:pPr>
            <w:r w:rsidRPr="00B926B6">
              <w:rPr>
                <w:noProof/>
                <w:lang w:val="af-ZA"/>
              </w:rPr>
              <w:t>Van Koningswege :</w:t>
            </w:r>
          </w:p>
          <w:p w:rsidR="00226A8F" w:rsidRPr="00B926B6" w:rsidRDefault="00226A8F" w:rsidP="00460A55">
            <w:pPr>
              <w:spacing w:before="120" w:after="120"/>
              <w:jc w:val="both"/>
              <w:rPr>
                <w:noProof/>
                <w:lang w:val="af-ZA"/>
              </w:rPr>
            </w:pPr>
          </w:p>
        </w:tc>
        <w:tc>
          <w:tcPr>
            <w:tcW w:w="4245" w:type="dxa"/>
          </w:tcPr>
          <w:p w:rsidR="00BD1B1E" w:rsidRDefault="00BD1B1E" w:rsidP="00460A55">
            <w:pPr>
              <w:spacing w:before="120" w:after="120"/>
              <w:jc w:val="center"/>
              <w:rPr>
                <w:noProof/>
                <w:lang w:val="af-ZA"/>
              </w:rPr>
            </w:pPr>
          </w:p>
          <w:p w:rsidR="00BD1B1E" w:rsidRDefault="00BD1B1E" w:rsidP="00460A55">
            <w:pPr>
              <w:spacing w:before="120" w:after="120"/>
              <w:jc w:val="center"/>
              <w:rPr>
                <w:noProof/>
                <w:lang w:val="af-ZA"/>
              </w:rPr>
            </w:pPr>
          </w:p>
          <w:p w:rsidR="00BD1B1E" w:rsidRDefault="00BD1B1E" w:rsidP="00460A55">
            <w:pPr>
              <w:spacing w:before="120" w:after="120"/>
              <w:jc w:val="center"/>
              <w:rPr>
                <w:noProof/>
                <w:lang w:val="af-ZA"/>
              </w:rPr>
            </w:pPr>
          </w:p>
          <w:p w:rsidR="00BD1B1E" w:rsidRDefault="00BD1B1E" w:rsidP="00460A55">
            <w:pPr>
              <w:spacing w:before="120" w:after="120"/>
              <w:jc w:val="center"/>
              <w:rPr>
                <w:noProof/>
                <w:lang w:val="af-ZA"/>
              </w:rPr>
            </w:pPr>
          </w:p>
          <w:p w:rsidR="00BD1B1E" w:rsidRDefault="00BD1B1E" w:rsidP="00460A55">
            <w:pPr>
              <w:spacing w:before="120" w:after="120"/>
              <w:jc w:val="center"/>
              <w:rPr>
                <w:noProof/>
                <w:lang w:val="af-ZA"/>
              </w:rPr>
            </w:pPr>
          </w:p>
          <w:p w:rsidR="00BD1B1E" w:rsidRDefault="00BD1B1E" w:rsidP="00460A55">
            <w:pPr>
              <w:spacing w:before="120" w:after="120"/>
              <w:jc w:val="center"/>
              <w:rPr>
                <w:noProof/>
                <w:lang w:val="af-ZA"/>
              </w:rPr>
            </w:pPr>
          </w:p>
          <w:p w:rsidR="00226A8F" w:rsidRPr="00B926B6" w:rsidRDefault="00226A8F" w:rsidP="00460A55">
            <w:pPr>
              <w:spacing w:before="120" w:after="120"/>
              <w:jc w:val="center"/>
              <w:rPr>
                <w:noProof/>
                <w:lang w:val="af-ZA"/>
              </w:rPr>
            </w:pPr>
            <w:r w:rsidRPr="00B926B6">
              <w:rPr>
                <w:noProof/>
                <w:lang w:val="af-ZA"/>
              </w:rPr>
              <w:t>Par le Roi :</w:t>
            </w:r>
          </w:p>
        </w:tc>
      </w:tr>
      <w:tr w:rsidR="00226A8F" w:rsidRPr="00460A55" w:rsidTr="00460A55">
        <w:tc>
          <w:tcPr>
            <w:tcW w:w="4503" w:type="dxa"/>
          </w:tcPr>
          <w:p w:rsidR="00226A8F" w:rsidRPr="00B926B6" w:rsidRDefault="00226A8F" w:rsidP="00460A55">
            <w:pPr>
              <w:spacing w:before="120" w:after="120"/>
              <w:jc w:val="center"/>
              <w:rPr>
                <w:noProof/>
                <w:lang w:val="af-ZA"/>
              </w:rPr>
            </w:pPr>
            <w:r w:rsidRPr="00B926B6">
              <w:rPr>
                <w:noProof/>
                <w:lang w:val="af-ZA"/>
              </w:rPr>
              <w:t>De Minister van Financiën,</w:t>
            </w:r>
          </w:p>
          <w:p w:rsidR="00226A8F" w:rsidRPr="00B926B6" w:rsidRDefault="00226A8F" w:rsidP="00460A55">
            <w:pPr>
              <w:spacing w:before="120" w:after="120"/>
              <w:jc w:val="both"/>
              <w:rPr>
                <w:noProof/>
                <w:lang w:val="af-ZA"/>
              </w:rPr>
            </w:pPr>
          </w:p>
          <w:p w:rsidR="00226A8F" w:rsidRPr="00B926B6" w:rsidRDefault="00226A8F" w:rsidP="00460A55">
            <w:pPr>
              <w:spacing w:before="120" w:after="120"/>
              <w:jc w:val="both"/>
              <w:rPr>
                <w:noProof/>
                <w:lang w:val="af-ZA"/>
              </w:rPr>
            </w:pPr>
          </w:p>
        </w:tc>
        <w:tc>
          <w:tcPr>
            <w:tcW w:w="4245" w:type="dxa"/>
          </w:tcPr>
          <w:p w:rsidR="00226A8F" w:rsidRPr="00460A55" w:rsidRDefault="00226A8F" w:rsidP="00460A55">
            <w:pPr>
              <w:spacing w:before="120" w:after="120"/>
              <w:jc w:val="center"/>
              <w:rPr>
                <w:noProof/>
                <w:lang w:val="af-ZA"/>
              </w:rPr>
            </w:pPr>
            <w:r w:rsidRPr="00B926B6">
              <w:rPr>
                <w:noProof/>
                <w:lang w:val="af-ZA"/>
              </w:rPr>
              <w:t>Le Ministre des Finances,</w:t>
            </w:r>
          </w:p>
        </w:tc>
      </w:tr>
    </w:tbl>
    <w:p w:rsidR="00BD1B1E" w:rsidRDefault="00BD1B1E" w:rsidP="00E73B36">
      <w:pPr>
        <w:spacing w:before="120" w:after="120"/>
        <w:ind w:left="2880" w:firstLine="720"/>
        <w:rPr>
          <w:noProof/>
          <w:lang w:val="af-ZA"/>
        </w:rPr>
      </w:pPr>
    </w:p>
    <w:p w:rsidR="00BD1B1E" w:rsidRDefault="00BD1B1E" w:rsidP="00E73B36">
      <w:pPr>
        <w:spacing w:before="120" w:after="120"/>
        <w:ind w:left="2880" w:firstLine="720"/>
        <w:rPr>
          <w:noProof/>
          <w:lang w:val="af-ZA"/>
        </w:rPr>
      </w:pPr>
    </w:p>
    <w:p w:rsidR="00BD1B1E" w:rsidRDefault="00BD1B1E" w:rsidP="00E73B36">
      <w:pPr>
        <w:spacing w:before="120" w:after="120"/>
        <w:ind w:left="2880" w:firstLine="720"/>
        <w:rPr>
          <w:noProof/>
          <w:lang w:val="af-ZA"/>
        </w:rPr>
      </w:pPr>
    </w:p>
    <w:p w:rsidR="00BD1B1E" w:rsidRDefault="00BD1B1E" w:rsidP="00E73B36">
      <w:pPr>
        <w:spacing w:before="120" w:after="120"/>
        <w:ind w:left="2880" w:firstLine="720"/>
        <w:rPr>
          <w:noProof/>
          <w:lang w:val="af-ZA"/>
        </w:rPr>
      </w:pPr>
    </w:p>
    <w:p w:rsidR="00E73B36" w:rsidRDefault="007812BB" w:rsidP="00E73B36">
      <w:pPr>
        <w:spacing w:before="120" w:after="120"/>
        <w:ind w:left="2880" w:firstLine="720"/>
        <w:rPr>
          <w:noProof/>
          <w:lang w:val="af-ZA"/>
        </w:rPr>
      </w:pPr>
      <w:r>
        <w:rPr>
          <w:noProof/>
          <w:lang w:val="af-ZA"/>
        </w:rPr>
        <w:t>K</w:t>
      </w:r>
      <w:r w:rsidR="0009138B">
        <w:rPr>
          <w:noProof/>
          <w:lang w:val="af-ZA"/>
        </w:rPr>
        <w:t>oen</w:t>
      </w:r>
      <w:r>
        <w:rPr>
          <w:noProof/>
          <w:lang w:val="af-ZA"/>
        </w:rPr>
        <w:t xml:space="preserve"> GEENS</w:t>
      </w:r>
    </w:p>
    <w:p w:rsidR="00355D4A" w:rsidRPr="006D7DC6" w:rsidRDefault="00355D4A" w:rsidP="00E73B36">
      <w:pPr>
        <w:spacing w:before="120" w:after="120"/>
        <w:ind w:left="2880" w:firstLine="720"/>
        <w:rPr>
          <w:noProof/>
          <w:lang w:val="af-ZA"/>
        </w:rPr>
      </w:pPr>
    </w:p>
    <w:sectPr w:rsidR="00355D4A" w:rsidRPr="006D7DC6" w:rsidSect="002A40FA">
      <w:headerReference w:type="even" r:id="rId7"/>
      <w:headerReference w:type="default" r:id="rId8"/>
      <w:pgSz w:w="11907" w:h="16840" w:code="9"/>
      <w:pgMar w:top="1440" w:right="1531" w:bottom="1440" w:left="153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B05" w:rsidRDefault="00686B05">
      <w:r>
        <w:separator/>
      </w:r>
    </w:p>
  </w:endnote>
  <w:endnote w:type="continuationSeparator" w:id="0">
    <w:p w:rsidR="00686B05" w:rsidRDefault="00686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B05" w:rsidRDefault="00686B05">
      <w:r>
        <w:separator/>
      </w:r>
    </w:p>
  </w:footnote>
  <w:footnote w:type="continuationSeparator" w:id="0">
    <w:p w:rsidR="00686B05" w:rsidRDefault="00686B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55" w:rsidRDefault="00553BBB" w:rsidP="00031423">
    <w:pPr>
      <w:pStyle w:val="Koptekst"/>
      <w:framePr w:wrap="around" w:vAnchor="text" w:hAnchor="margin" w:xAlign="center" w:y="1"/>
      <w:rPr>
        <w:rStyle w:val="Paginanummer"/>
      </w:rPr>
    </w:pPr>
    <w:r>
      <w:rPr>
        <w:rStyle w:val="Paginanummer"/>
      </w:rPr>
      <w:fldChar w:fldCharType="begin"/>
    </w:r>
    <w:r w:rsidR="00460A55">
      <w:rPr>
        <w:rStyle w:val="Paginanummer"/>
      </w:rPr>
      <w:instrText xml:space="preserve">PAGE  </w:instrText>
    </w:r>
    <w:r>
      <w:rPr>
        <w:rStyle w:val="Paginanummer"/>
      </w:rPr>
      <w:fldChar w:fldCharType="end"/>
    </w:r>
  </w:p>
  <w:p w:rsidR="00460A55" w:rsidRDefault="00460A55">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55" w:rsidRDefault="00553BBB" w:rsidP="00031423">
    <w:pPr>
      <w:pStyle w:val="Koptekst"/>
      <w:framePr w:wrap="around" w:vAnchor="text" w:hAnchor="margin" w:xAlign="center" w:y="1"/>
      <w:rPr>
        <w:rStyle w:val="Paginanummer"/>
      </w:rPr>
    </w:pPr>
    <w:r>
      <w:rPr>
        <w:rStyle w:val="Paginanummer"/>
      </w:rPr>
      <w:fldChar w:fldCharType="begin"/>
    </w:r>
    <w:r w:rsidR="00460A55">
      <w:rPr>
        <w:rStyle w:val="Paginanummer"/>
      </w:rPr>
      <w:instrText xml:space="preserve">PAGE  </w:instrText>
    </w:r>
    <w:r>
      <w:rPr>
        <w:rStyle w:val="Paginanummer"/>
      </w:rPr>
      <w:fldChar w:fldCharType="separate"/>
    </w:r>
    <w:r w:rsidR="00821AEE">
      <w:rPr>
        <w:rStyle w:val="Paginanummer"/>
        <w:noProof/>
      </w:rPr>
      <w:t>- 10 -</w:t>
    </w:r>
    <w:r>
      <w:rPr>
        <w:rStyle w:val="Paginanummer"/>
      </w:rPr>
      <w:fldChar w:fldCharType="end"/>
    </w:r>
  </w:p>
  <w:p w:rsidR="00460A55" w:rsidRDefault="00460A55">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3A9F"/>
    <w:multiLevelType w:val="hybridMultilevel"/>
    <w:tmpl w:val="D9D6A5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D15BE8"/>
    <w:multiLevelType w:val="hybridMultilevel"/>
    <w:tmpl w:val="1DF0E1E2"/>
    <w:lvl w:ilvl="0" w:tplc="5F1E8D2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07021864"/>
    <w:multiLevelType w:val="hybridMultilevel"/>
    <w:tmpl w:val="D9D6A5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6E5637"/>
    <w:multiLevelType w:val="hybridMultilevel"/>
    <w:tmpl w:val="A6A48182"/>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64C04C4"/>
    <w:multiLevelType w:val="hybridMultilevel"/>
    <w:tmpl w:val="7C44E0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8C3E71"/>
    <w:multiLevelType w:val="hybridMultilevel"/>
    <w:tmpl w:val="56C09B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56B2681"/>
    <w:multiLevelType w:val="hybridMultilevel"/>
    <w:tmpl w:val="9C40AEF6"/>
    <w:lvl w:ilvl="0" w:tplc="772C2E60">
      <w:start w:val="1"/>
      <w:numFmt w:val="lowerLetter"/>
      <w:lvlText w:val="%1)"/>
      <w:lvlJc w:val="left"/>
      <w:pPr>
        <w:ind w:left="720" w:hanging="360"/>
      </w:pPr>
      <w:rPr>
        <w:rFonts w:ascii="Palatino-Italic" w:hAnsi="Palatino-Italic" w:cs="Palatino-Italic"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842425"/>
    <w:multiLevelType w:val="hybridMultilevel"/>
    <w:tmpl w:val="5D005C86"/>
    <w:lvl w:ilvl="0" w:tplc="B3D22B3E">
      <w:start w:val="1"/>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nsid w:val="6B0149F3"/>
    <w:multiLevelType w:val="hybridMultilevel"/>
    <w:tmpl w:val="7C44E0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710AE5"/>
    <w:multiLevelType w:val="hybridMultilevel"/>
    <w:tmpl w:val="46E8A7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291829"/>
    <w:multiLevelType w:val="hybridMultilevel"/>
    <w:tmpl w:val="1152B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D587A79"/>
    <w:multiLevelType w:val="hybridMultilevel"/>
    <w:tmpl w:val="9C40AEF6"/>
    <w:lvl w:ilvl="0" w:tplc="772C2E60">
      <w:start w:val="1"/>
      <w:numFmt w:val="lowerLetter"/>
      <w:lvlText w:val="%1)"/>
      <w:lvlJc w:val="left"/>
      <w:pPr>
        <w:ind w:left="720" w:hanging="360"/>
      </w:pPr>
      <w:rPr>
        <w:rFonts w:ascii="Palatino-Italic" w:hAnsi="Palatino-Italic" w:cs="Palatino-Italic"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0"/>
  </w:num>
  <w:num w:numId="5">
    <w:abstractNumId w:val="6"/>
  </w:num>
  <w:num w:numId="6">
    <w:abstractNumId w:val="2"/>
  </w:num>
  <w:num w:numId="7">
    <w:abstractNumId w:val="11"/>
  </w:num>
  <w:num w:numId="8">
    <w:abstractNumId w:val="5"/>
  </w:num>
  <w:num w:numId="9">
    <w:abstractNumId w:val="1"/>
  </w:num>
  <w:num w:numId="10">
    <w:abstractNumId w:val="8"/>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773D1"/>
    <w:rsid w:val="00000450"/>
    <w:rsid w:val="00013AD7"/>
    <w:rsid w:val="0001411C"/>
    <w:rsid w:val="00016489"/>
    <w:rsid w:val="0002537F"/>
    <w:rsid w:val="00025E5C"/>
    <w:rsid w:val="000269A7"/>
    <w:rsid w:val="00031423"/>
    <w:rsid w:val="00037B72"/>
    <w:rsid w:val="00040E72"/>
    <w:rsid w:val="00043E0B"/>
    <w:rsid w:val="000508E7"/>
    <w:rsid w:val="00054480"/>
    <w:rsid w:val="00055C96"/>
    <w:rsid w:val="000630FB"/>
    <w:rsid w:val="00065DC7"/>
    <w:rsid w:val="00067EFD"/>
    <w:rsid w:val="000717C9"/>
    <w:rsid w:val="00072A87"/>
    <w:rsid w:val="000773D1"/>
    <w:rsid w:val="000860EE"/>
    <w:rsid w:val="0009138B"/>
    <w:rsid w:val="000A2263"/>
    <w:rsid w:val="000A265C"/>
    <w:rsid w:val="000A2DC9"/>
    <w:rsid w:val="000A5218"/>
    <w:rsid w:val="000A5CEE"/>
    <w:rsid w:val="000A6C71"/>
    <w:rsid w:val="000B1D73"/>
    <w:rsid w:val="000B5AB6"/>
    <w:rsid w:val="000B7472"/>
    <w:rsid w:val="000B7C50"/>
    <w:rsid w:val="000C0D12"/>
    <w:rsid w:val="000C494B"/>
    <w:rsid w:val="000D09EF"/>
    <w:rsid w:val="000D0F91"/>
    <w:rsid w:val="000D1A9E"/>
    <w:rsid w:val="000D20E1"/>
    <w:rsid w:val="000D40D6"/>
    <w:rsid w:val="000D728D"/>
    <w:rsid w:val="000E12CF"/>
    <w:rsid w:val="000E2C9C"/>
    <w:rsid w:val="000E5080"/>
    <w:rsid w:val="000E53E7"/>
    <w:rsid w:val="000F4C6A"/>
    <w:rsid w:val="000F69A3"/>
    <w:rsid w:val="001002CE"/>
    <w:rsid w:val="00102BE2"/>
    <w:rsid w:val="0010567F"/>
    <w:rsid w:val="00105B55"/>
    <w:rsid w:val="00107C6F"/>
    <w:rsid w:val="00117FE0"/>
    <w:rsid w:val="00120DED"/>
    <w:rsid w:val="00123181"/>
    <w:rsid w:val="00126EC7"/>
    <w:rsid w:val="00130060"/>
    <w:rsid w:val="00130C74"/>
    <w:rsid w:val="00135AC1"/>
    <w:rsid w:val="001443FF"/>
    <w:rsid w:val="001447A8"/>
    <w:rsid w:val="00157349"/>
    <w:rsid w:val="00157B7E"/>
    <w:rsid w:val="00157E84"/>
    <w:rsid w:val="001623D9"/>
    <w:rsid w:val="00165162"/>
    <w:rsid w:val="00166198"/>
    <w:rsid w:val="0017024C"/>
    <w:rsid w:val="0017226E"/>
    <w:rsid w:val="00173171"/>
    <w:rsid w:val="00174B96"/>
    <w:rsid w:val="001772B4"/>
    <w:rsid w:val="0018225F"/>
    <w:rsid w:val="00184ACE"/>
    <w:rsid w:val="00185717"/>
    <w:rsid w:val="00195EEB"/>
    <w:rsid w:val="001A03ED"/>
    <w:rsid w:val="001A41DB"/>
    <w:rsid w:val="001A70FC"/>
    <w:rsid w:val="001B5C6E"/>
    <w:rsid w:val="001B69DA"/>
    <w:rsid w:val="001C5BB2"/>
    <w:rsid w:val="001D57C4"/>
    <w:rsid w:val="001E238D"/>
    <w:rsid w:val="001E7684"/>
    <w:rsid w:val="001F7789"/>
    <w:rsid w:val="00202EE4"/>
    <w:rsid w:val="00205B57"/>
    <w:rsid w:val="00205EF2"/>
    <w:rsid w:val="00207124"/>
    <w:rsid w:val="002118D4"/>
    <w:rsid w:val="00212919"/>
    <w:rsid w:val="002163F8"/>
    <w:rsid w:val="00216F3D"/>
    <w:rsid w:val="0021712B"/>
    <w:rsid w:val="0022181C"/>
    <w:rsid w:val="00225532"/>
    <w:rsid w:val="00226A8F"/>
    <w:rsid w:val="00226C3D"/>
    <w:rsid w:val="002279B7"/>
    <w:rsid w:val="00240FC5"/>
    <w:rsid w:val="00242B0A"/>
    <w:rsid w:val="00244681"/>
    <w:rsid w:val="0024762F"/>
    <w:rsid w:val="00256454"/>
    <w:rsid w:val="00257668"/>
    <w:rsid w:val="00261555"/>
    <w:rsid w:val="00267213"/>
    <w:rsid w:val="00271CFC"/>
    <w:rsid w:val="00272E12"/>
    <w:rsid w:val="00276B07"/>
    <w:rsid w:val="00280C83"/>
    <w:rsid w:val="00281282"/>
    <w:rsid w:val="002839A0"/>
    <w:rsid w:val="002865A1"/>
    <w:rsid w:val="0028721E"/>
    <w:rsid w:val="00294A00"/>
    <w:rsid w:val="002A40FA"/>
    <w:rsid w:val="002A4118"/>
    <w:rsid w:val="002A52D8"/>
    <w:rsid w:val="002A651D"/>
    <w:rsid w:val="002B0871"/>
    <w:rsid w:val="002B0E83"/>
    <w:rsid w:val="002B35A5"/>
    <w:rsid w:val="002B3AA2"/>
    <w:rsid w:val="002B5F9D"/>
    <w:rsid w:val="002C0D05"/>
    <w:rsid w:val="002C2B3D"/>
    <w:rsid w:val="002D6283"/>
    <w:rsid w:val="002E258A"/>
    <w:rsid w:val="002E6270"/>
    <w:rsid w:val="002E65EF"/>
    <w:rsid w:val="002E6AF0"/>
    <w:rsid w:val="002F109F"/>
    <w:rsid w:val="00302FE8"/>
    <w:rsid w:val="00304B4E"/>
    <w:rsid w:val="00305C5B"/>
    <w:rsid w:val="00311FEE"/>
    <w:rsid w:val="0031270F"/>
    <w:rsid w:val="003149E0"/>
    <w:rsid w:val="00321146"/>
    <w:rsid w:val="003272C2"/>
    <w:rsid w:val="003370DE"/>
    <w:rsid w:val="00337707"/>
    <w:rsid w:val="00340670"/>
    <w:rsid w:val="00340AE9"/>
    <w:rsid w:val="00350CF3"/>
    <w:rsid w:val="00355D4A"/>
    <w:rsid w:val="00356DD9"/>
    <w:rsid w:val="00362E8D"/>
    <w:rsid w:val="003650EF"/>
    <w:rsid w:val="0036597D"/>
    <w:rsid w:val="00366DD8"/>
    <w:rsid w:val="00367176"/>
    <w:rsid w:val="00370365"/>
    <w:rsid w:val="00370766"/>
    <w:rsid w:val="00375847"/>
    <w:rsid w:val="00376E17"/>
    <w:rsid w:val="00396E5B"/>
    <w:rsid w:val="003A05A7"/>
    <w:rsid w:val="003A06E9"/>
    <w:rsid w:val="003A306F"/>
    <w:rsid w:val="003A5CD8"/>
    <w:rsid w:val="003A663F"/>
    <w:rsid w:val="003B5FC3"/>
    <w:rsid w:val="003C50DA"/>
    <w:rsid w:val="003C6CAB"/>
    <w:rsid w:val="003C6F77"/>
    <w:rsid w:val="003D44C0"/>
    <w:rsid w:val="003D5137"/>
    <w:rsid w:val="003E41B5"/>
    <w:rsid w:val="003E729E"/>
    <w:rsid w:val="003F08BD"/>
    <w:rsid w:val="003F2096"/>
    <w:rsid w:val="003F2289"/>
    <w:rsid w:val="003F5739"/>
    <w:rsid w:val="00400522"/>
    <w:rsid w:val="00403E76"/>
    <w:rsid w:val="004065CC"/>
    <w:rsid w:val="00406C21"/>
    <w:rsid w:val="00420B7D"/>
    <w:rsid w:val="004219D5"/>
    <w:rsid w:val="00425B6A"/>
    <w:rsid w:val="0042653A"/>
    <w:rsid w:val="0043236E"/>
    <w:rsid w:val="004401E1"/>
    <w:rsid w:val="004434F6"/>
    <w:rsid w:val="004446AA"/>
    <w:rsid w:val="004458E8"/>
    <w:rsid w:val="0044625F"/>
    <w:rsid w:val="004545BD"/>
    <w:rsid w:val="00460A55"/>
    <w:rsid w:val="00463583"/>
    <w:rsid w:val="00467A9F"/>
    <w:rsid w:val="00472EB3"/>
    <w:rsid w:val="00481FB7"/>
    <w:rsid w:val="00485E90"/>
    <w:rsid w:val="00486D48"/>
    <w:rsid w:val="00493B5F"/>
    <w:rsid w:val="004A25E0"/>
    <w:rsid w:val="004A5E4C"/>
    <w:rsid w:val="004B3CCB"/>
    <w:rsid w:val="004B6E1D"/>
    <w:rsid w:val="004C3754"/>
    <w:rsid w:val="004C4D81"/>
    <w:rsid w:val="004C5510"/>
    <w:rsid w:val="004C5815"/>
    <w:rsid w:val="004C6ABF"/>
    <w:rsid w:val="004D0437"/>
    <w:rsid w:val="004D07F2"/>
    <w:rsid w:val="004D2AA0"/>
    <w:rsid w:val="004D4BBA"/>
    <w:rsid w:val="004E1FB3"/>
    <w:rsid w:val="004E435A"/>
    <w:rsid w:val="004E5989"/>
    <w:rsid w:val="0050248A"/>
    <w:rsid w:val="005027DD"/>
    <w:rsid w:val="00506C81"/>
    <w:rsid w:val="0051168C"/>
    <w:rsid w:val="0051371F"/>
    <w:rsid w:val="005150A8"/>
    <w:rsid w:val="005160C2"/>
    <w:rsid w:val="00522C26"/>
    <w:rsid w:val="00524751"/>
    <w:rsid w:val="0052520D"/>
    <w:rsid w:val="0052573F"/>
    <w:rsid w:val="00526261"/>
    <w:rsid w:val="00530E1C"/>
    <w:rsid w:val="00531DED"/>
    <w:rsid w:val="00545CD0"/>
    <w:rsid w:val="00553BBB"/>
    <w:rsid w:val="0056541E"/>
    <w:rsid w:val="005660DB"/>
    <w:rsid w:val="00573B5C"/>
    <w:rsid w:val="00574A5C"/>
    <w:rsid w:val="005867F9"/>
    <w:rsid w:val="00590416"/>
    <w:rsid w:val="00591588"/>
    <w:rsid w:val="00591A4E"/>
    <w:rsid w:val="005966C9"/>
    <w:rsid w:val="005A4470"/>
    <w:rsid w:val="005A5A4C"/>
    <w:rsid w:val="005A7D4F"/>
    <w:rsid w:val="005B0332"/>
    <w:rsid w:val="005B4783"/>
    <w:rsid w:val="005C3390"/>
    <w:rsid w:val="005C4398"/>
    <w:rsid w:val="005C6F71"/>
    <w:rsid w:val="005D23DC"/>
    <w:rsid w:val="005D2467"/>
    <w:rsid w:val="005D3B29"/>
    <w:rsid w:val="005D514F"/>
    <w:rsid w:val="005D6830"/>
    <w:rsid w:val="005D6AD4"/>
    <w:rsid w:val="005E6040"/>
    <w:rsid w:val="005F092B"/>
    <w:rsid w:val="005F4B7A"/>
    <w:rsid w:val="005F7769"/>
    <w:rsid w:val="006010B7"/>
    <w:rsid w:val="00602088"/>
    <w:rsid w:val="00607153"/>
    <w:rsid w:val="00612E1F"/>
    <w:rsid w:val="00612E70"/>
    <w:rsid w:val="00614F3F"/>
    <w:rsid w:val="00621ACC"/>
    <w:rsid w:val="00624EFE"/>
    <w:rsid w:val="006257FB"/>
    <w:rsid w:val="00630183"/>
    <w:rsid w:val="00633889"/>
    <w:rsid w:val="00634C60"/>
    <w:rsid w:val="006360BB"/>
    <w:rsid w:val="0063615D"/>
    <w:rsid w:val="006412CA"/>
    <w:rsid w:val="00642E2C"/>
    <w:rsid w:val="00651328"/>
    <w:rsid w:val="006527DC"/>
    <w:rsid w:val="00656F67"/>
    <w:rsid w:val="00657D80"/>
    <w:rsid w:val="00660824"/>
    <w:rsid w:val="0066243A"/>
    <w:rsid w:val="00674954"/>
    <w:rsid w:val="00674FCE"/>
    <w:rsid w:val="00675707"/>
    <w:rsid w:val="006759AB"/>
    <w:rsid w:val="00675BA9"/>
    <w:rsid w:val="006843D8"/>
    <w:rsid w:val="006845F5"/>
    <w:rsid w:val="00686629"/>
    <w:rsid w:val="00686B05"/>
    <w:rsid w:val="00687F3D"/>
    <w:rsid w:val="0069560A"/>
    <w:rsid w:val="006976C6"/>
    <w:rsid w:val="00697BEE"/>
    <w:rsid w:val="006A2196"/>
    <w:rsid w:val="006A70B4"/>
    <w:rsid w:val="006B60F7"/>
    <w:rsid w:val="006C09B7"/>
    <w:rsid w:val="006C3689"/>
    <w:rsid w:val="006C4694"/>
    <w:rsid w:val="006D302A"/>
    <w:rsid w:val="006D77E0"/>
    <w:rsid w:val="006D7DC6"/>
    <w:rsid w:val="006F72D3"/>
    <w:rsid w:val="006F7C65"/>
    <w:rsid w:val="00700FA7"/>
    <w:rsid w:val="00710450"/>
    <w:rsid w:val="007265BA"/>
    <w:rsid w:val="00735B48"/>
    <w:rsid w:val="00737742"/>
    <w:rsid w:val="00741CAD"/>
    <w:rsid w:val="0074342F"/>
    <w:rsid w:val="00744714"/>
    <w:rsid w:val="007452AE"/>
    <w:rsid w:val="0075043C"/>
    <w:rsid w:val="00755E56"/>
    <w:rsid w:val="00756D19"/>
    <w:rsid w:val="00761100"/>
    <w:rsid w:val="00761353"/>
    <w:rsid w:val="007646F9"/>
    <w:rsid w:val="00765778"/>
    <w:rsid w:val="007666AB"/>
    <w:rsid w:val="00770F45"/>
    <w:rsid w:val="00773B09"/>
    <w:rsid w:val="00774587"/>
    <w:rsid w:val="007812BB"/>
    <w:rsid w:val="00781CB5"/>
    <w:rsid w:val="00786453"/>
    <w:rsid w:val="00786916"/>
    <w:rsid w:val="00790BBB"/>
    <w:rsid w:val="00795A6A"/>
    <w:rsid w:val="0079617C"/>
    <w:rsid w:val="00796596"/>
    <w:rsid w:val="00796BEF"/>
    <w:rsid w:val="00797CE6"/>
    <w:rsid w:val="00797E4A"/>
    <w:rsid w:val="007A32B7"/>
    <w:rsid w:val="007B087E"/>
    <w:rsid w:val="007B1AC7"/>
    <w:rsid w:val="007B384E"/>
    <w:rsid w:val="007B59E2"/>
    <w:rsid w:val="007B7D99"/>
    <w:rsid w:val="007C2C99"/>
    <w:rsid w:val="007C3FFD"/>
    <w:rsid w:val="007D12F3"/>
    <w:rsid w:val="007D41BE"/>
    <w:rsid w:val="007D61F7"/>
    <w:rsid w:val="007F07C8"/>
    <w:rsid w:val="007F1060"/>
    <w:rsid w:val="007F4186"/>
    <w:rsid w:val="007F4A5F"/>
    <w:rsid w:val="00803ABA"/>
    <w:rsid w:val="0081123B"/>
    <w:rsid w:val="008132E5"/>
    <w:rsid w:val="008139ED"/>
    <w:rsid w:val="00816882"/>
    <w:rsid w:val="00816DC7"/>
    <w:rsid w:val="008209E1"/>
    <w:rsid w:val="00821AEE"/>
    <w:rsid w:val="00822766"/>
    <w:rsid w:val="00822B93"/>
    <w:rsid w:val="00826B71"/>
    <w:rsid w:val="008303DC"/>
    <w:rsid w:val="008355E1"/>
    <w:rsid w:val="00844300"/>
    <w:rsid w:val="00851399"/>
    <w:rsid w:val="008604CE"/>
    <w:rsid w:val="0086301B"/>
    <w:rsid w:val="008635A9"/>
    <w:rsid w:val="00866FFC"/>
    <w:rsid w:val="00872343"/>
    <w:rsid w:val="00876441"/>
    <w:rsid w:val="00882F0D"/>
    <w:rsid w:val="00885AD2"/>
    <w:rsid w:val="008877B9"/>
    <w:rsid w:val="00896055"/>
    <w:rsid w:val="008A0E6D"/>
    <w:rsid w:val="008A1607"/>
    <w:rsid w:val="008A3200"/>
    <w:rsid w:val="008A4136"/>
    <w:rsid w:val="008A7AEE"/>
    <w:rsid w:val="008B05F0"/>
    <w:rsid w:val="008B4058"/>
    <w:rsid w:val="008B4204"/>
    <w:rsid w:val="008C1DA6"/>
    <w:rsid w:val="008C28A9"/>
    <w:rsid w:val="008C366F"/>
    <w:rsid w:val="008C7020"/>
    <w:rsid w:val="008C711F"/>
    <w:rsid w:val="008D19FB"/>
    <w:rsid w:val="008D4125"/>
    <w:rsid w:val="008D5393"/>
    <w:rsid w:val="008D69BF"/>
    <w:rsid w:val="008E772E"/>
    <w:rsid w:val="008F1FE6"/>
    <w:rsid w:val="008F4104"/>
    <w:rsid w:val="009007B4"/>
    <w:rsid w:val="00902FDB"/>
    <w:rsid w:val="00903FE4"/>
    <w:rsid w:val="009053F6"/>
    <w:rsid w:val="0090557A"/>
    <w:rsid w:val="00907741"/>
    <w:rsid w:val="009128C4"/>
    <w:rsid w:val="00921661"/>
    <w:rsid w:val="00930A03"/>
    <w:rsid w:val="009328A7"/>
    <w:rsid w:val="00933786"/>
    <w:rsid w:val="0093416E"/>
    <w:rsid w:val="0093527D"/>
    <w:rsid w:val="009357E6"/>
    <w:rsid w:val="00936355"/>
    <w:rsid w:val="00970C17"/>
    <w:rsid w:val="00971F53"/>
    <w:rsid w:val="00975D27"/>
    <w:rsid w:val="00977A9A"/>
    <w:rsid w:val="0098334A"/>
    <w:rsid w:val="00985846"/>
    <w:rsid w:val="009862E6"/>
    <w:rsid w:val="009878CF"/>
    <w:rsid w:val="00997F2E"/>
    <w:rsid w:val="009A050D"/>
    <w:rsid w:val="009A4908"/>
    <w:rsid w:val="009A79FC"/>
    <w:rsid w:val="009B31E9"/>
    <w:rsid w:val="009B36BB"/>
    <w:rsid w:val="009B5E2F"/>
    <w:rsid w:val="009B63D0"/>
    <w:rsid w:val="009B6A8F"/>
    <w:rsid w:val="009B6CB1"/>
    <w:rsid w:val="009C1916"/>
    <w:rsid w:val="009C2962"/>
    <w:rsid w:val="009C2FA0"/>
    <w:rsid w:val="009C73DF"/>
    <w:rsid w:val="009D36F2"/>
    <w:rsid w:val="009E5BBB"/>
    <w:rsid w:val="009F1236"/>
    <w:rsid w:val="00A01BF1"/>
    <w:rsid w:val="00A02709"/>
    <w:rsid w:val="00A10D12"/>
    <w:rsid w:val="00A11547"/>
    <w:rsid w:val="00A11E38"/>
    <w:rsid w:val="00A140B5"/>
    <w:rsid w:val="00A17A67"/>
    <w:rsid w:val="00A21A66"/>
    <w:rsid w:val="00A22835"/>
    <w:rsid w:val="00A23EA6"/>
    <w:rsid w:val="00A241A2"/>
    <w:rsid w:val="00A30CBE"/>
    <w:rsid w:val="00A33AB7"/>
    <w:rsid w:val="00A34955"/>
    <w:rsid w:val="00A403A3"/>
    <w:rsid w:val="00A4391F"/>
    <w:rsid w:val="00A439F7"/>
    <w:rsid w:val="00A46E7B"/>
    <w:rsid w:val="00A554EE"/>
    <w:rsid w:val="00A5695A"/>
    <w:rsid w:val="00A60B57"/>
    <w:rsid w:val="00A61A52"/>
    <w:rsid w:val="00A63444"/>
    <w:rsid w:val="00A636A8"/>
    <w:rsid w:val="00A66342"/>
    <w:rsid w:val="00A72EDF"/>
    <w:rsid w:val="00A9279F"/>
    <w:rsid w:val="00A9588D"/>
    <w:rsid w:val="00A96C75"/>
    <w:rsid w:val="00A97277"/>
    <w:rsid w:val="00AA048B"/>
    <w:rsid w:val="00AA20B4"/>
    <w:rsid w:val="00AA4E0F"/>
    <w:rsid w:val="00AB1A2F"/>
    <w:rsid w:val="00AB6753"/>
    <w:rsid w:val="00AC0849"/>
    <w:rsid w:val="00AC4928"/>
    <w:rsid w:val="00AC69E2"/>
    <w:rsid w:val="00AD22B7"/>
    <w:rsid w:val="00AD2A2A"/>
    <w:rsid w:val="00AE086C"/>
    <w:rsid w:val="00AE0ED2"/>
    <w:rsid w:val="00AE193A"/>
    <w:rsid w:val="00AE217A"/>
    <w:rsid w:val="00AF1F1B"/>
    <w:rsid w:val="00AF3990"/>
    <w:rsid w:val="00AF48CA"/>
    <w:rsid w:val="00AF727F"/>
    <w:rsid w:val="00B0033D"/>
    <w:rsid w:val="00B00AF8"/>
    <w:rsid w:val="00B07063"/>
    <w:rsid w:val="00B1272C"/>
    <w:rsid w:val="00B244E6"/>
    <w:rsid w:val="00B31B88"/>
    <w:rsid w:val="00B31DF5"/>
    <w:rsid w:val="00B33782"/>
    <w:rsid w:val="00B34DE0"/>
    <w:rsid w:val="00B36B0A"/>
    <w:rsid w:val="00B375C2"/>
    <w:rsid w:val="00B37DF0"/>
    <w:rsid w:val="00B51587"/>
    <w:rsid w:val="00B51D2C"/>
    <w:rsid w:val="00B52621"/>
    <w:rsid w:val="00B53DEE"/>
    <w:rsid w:val="00B550A6"/>
    <w:rsid w:val="00B569AF"/>
    <w:rsid w:val="00B57AD4"/>
    <w:rsid w:val="00B66DA5"/>
    <w:rsid w:val="00B734FB"/>
    <w:rsid w:val="00B73E43"/>
    <w:rsid w:val="00B74FAF"/>
    <w:rsid w:val="00B82614"/>
    <w:rsid w:val="00B82C6A"/>
    <w:rsid w:val="00B84E78"/>
    <w:rsid w:val="00B91171"/>
    <w:rsid w:val="00B926B6"/>
    <w:rsid w:val="00B93CF7"/>
    <w:rsid w:val="00BA5D46"/>
    <w:rsid w:val="00BA6254"/>
    <w:rsid w:val="00BC2B20"/>
    <w:rsid w:val="00BC795B"/>
    <w:rsid w:val="00BD1B1E"/>
    <w:rsid w:val="00BD3BD1"/>
    <w:rsid w:val="00BD6BBF"/>
    <w:rsid w:val="00BE11B6"/>
    <w:rsid w:val="00BE2177"/>
    <w:rsid w:val="00BE3D15"/>
    <w:rsid w:val="00BE690E"/>
    <w:rsid w:val="00BF1034"/>
    <w:rsid w:val="00BF2C85"/>
    <w:rsid w:val="00BF39AE"/>
    <w:rsid w:val="00BF42EB"/>
    <w:rsid w:val="00BF70FA"/>
    <w:rsid w:val="00C101D2"/>
    <w:rsid w:val="00C13C6E"/>
    <w:rsid w:val="00C16261"/>
    <w:rsid w:val="00C210DE"/>
    <w:rsid w:val="00C221B4"/>
    <w:rsid w:val="00C2302A"/>
    <w:rsid w:val="00C255F4"/>
    <w:rsid w:val="00C25850"/>
    <w:rsid w:val="00C25CFF"/>
    <w:rsid w:val="00C32912"/>
    <w:rsid w:val="00C339CF"/>
    <w:rsid w:val="00C3418F"/>
    <w:rsid w:val="00C36882"/>
    <w:rsid w:val="00C437D7"/>
    <w:rsid w:val="00C56B1D"/>
    <w:rsid w:val="00C61097"/>
    <w:rsid w:val="00C62F50"/>
    <w:rsid w:val="00C6365D"/>
    <w:rsid w:val="00C63CD0"/>
    <w:rsid w:val="00C64C00"/>
    <w:rsid w:val="00C673B6"/>
    <w:rsid w:val="00C67A63"/>
    <w:rsid w:val="00C724BE"/>
    <w:rsid w:val="00C801B2"/>
    <w:rsid w:val="00C82E11"/>
    <w:rsid w:val="00C8319D"/>
    <w:rsid w:val="00C83AA7"/>
    <w:rsid w:val="00C8795F"/>
    <w:rsid w:val="00CA03E1"/>
    <w:rsid w:val="00CA3FD6"/>
    <w:rsid w:val="00CB0F7F"/>
    <w:rsid w:val="00CB0FB6"/>
    <w:rsid w:val="00CB2EF9"/>
    <w:rsid w:val="00CB3A0B"/>
    <w:rsid w:val="00CB6180"/>
    <w:rsid w:val="00CB7471"/>
    <w:rsid w:val="00CC1930"/>
    <w:rsid w:val="00CC37AD"/>
    <w:rsid w:val="00CC6623"/>
    <w:rsid w:val="00CE10DB"/>
    <w:rsid w:val="00CE10E5"/>
    <w:rsid w:val="00CF09C3"/>
    <w:rsid w:val="00CF2444"/>
    <w:rsid w:val="00CF2B50"/>
    <w:rsid w:val="00CF2D96"/>
    <w:rsid w:val="00CF30FC"/>
    <w:rsid w:val="00CF7027"/>
    <w:rsid w:val="00D01E96"/>
    <w:rsid w:val="00D05ABD"/>
    <w:rsid w:val="00D06D69"/>
    <w:rsid w:val="00D10EEE"/>
    <w:rsid w:val="00D127C3"/>
    <w:rsid w:val="00D17942"/>
    <w:rsid w:val="00D2010D"/>
    <w:rsid w:val="00D216DF"/>
    <w:rsid w:val="00D2666C"/>
    <w:rsid w:val="00D3620F"/>
    <w:rsid w:val="00D6294B"/>
    <w:rsid w:val="00D669B0"/>
    <w:rsid w:val="00D706CA"/>
    <w:rsid w:val="00D70E30"/>
    <w:rsid w:val="00D731F8"/>
    <w:rsid w:val="00D73AB1"/>
    <w:rsid w:val="00D76417"/>
    <w:rsid w:val="00D764E3"/>
    <w:rsid w:val="00D7672D"/>
    <w:rsid w:val="00D770F9"/>
    <w:rsid w:val="00D80B37"/>
    <w:rsid w:val="00D90D26"/>
    <w:rsid w:val="00D91279"/>
    <w:rsid w:val="00D93A6D"/>
    <w:rsid w:val="00D96733"/>
    <w:rsid w:val="00D97008"/>
    <w:rsid w:val="00DA0831"/>
    <w:rsid w:val="00DA18C7"/>
    <w:rsid w:val="00DA6E16"/>
    <w:rsid w:val="00DB2A35"/>
    <w:rsid w:val="00DB2F34"/>
    <w:rsid w:val="00DB58DD"/>
    <w:rsid w:val="00DC014B"/>
    <w:rsid w:val="00DC3220"/>
    <w:rsid w:val="00DD3066"/>
    <w:rsid w:val="00DD57D3"/>
    <w:rsid w:val="00DE1332"/>
    <w:rsid w:val="00DE2AE0"/>
    <w:rsid w:val="00DE75CE"/>
    <w:rsid w:val="00DF1F51"/>
    <w:rsid w:val="00DF20B5"/>
    <w:rsid w:val="00DF4D57"/>
    <w:rsid w:val="00E02496"/>
    <w:rsid w:val="00E04C95"/>
    <w:rsid w:val="00E1196C"/>
    <w:rsid w:val="00E16CD3"/>
    <w:rsid w:val="00E20BC0"/>
    <w:rsid w:val="00E2197C"/>
    <w:rsid w:val="00E21F19"/>
    <w:rsid w:val="00E31633"/>
    <w:rsid w:val="00E36183"/>
    <w:rsid w:val="00E40BC6"/>
    <w:rsid w:val="00E41131"/>
    <w:rsid w:val="00E423E9"/>
    <w:rsid w:val="00E5051E"/>
    <w:rsid w:val="00E55642"/>
    <w:rsid w:val="00E575B7"/>
    <w:rsid w:val="00E73B36"/>
    <w:rsid w:val="00E76253"/>
    <w:rsid w:val="00E77512"/>
    <w:rsid w:val="00E80504"/>
    <w:rsid w:val="00E80FFA"/>
    <w:rsid w:val="00E8292F"/>
    <w:rsid w:val="00E86850"/>
    <w:rsid w:val="00E91BB3"/>
    <w:rsid w:val="00E92354"/>
    <w:rsid w:val="00E9334E"/>
    <w:rsid w:val="00E95035"/>
    <w:rsid w:val="00E9537D"/>
    <w:rsid w:val="00E969D0"/>
    <w:rsid w:val="00E96B4D"/>
    <w:rsid w:val="00EA2D29"/>
    <w:rsid w:val="00EA4DB2"/>
    <w:rsid w:val="00EA5BE4"/>
    <w:rsid w:val="00EA6B08"/>
    <w:rsid w:val="00EB2C22"/>
    <w:rsid w:val="00EB3555"/>
    <w:rsid w:val="00EB6998"/>
    <w:rsid w:val="00EB6B6C"/>
    <w:rsid w:val="00EB6BFB"/>
    <w:rsid w:val="00EC23A4"/>
    <w:rsid w:val="00ED1A84"/>
    <w:rsid w:val="00ED50F5"/>
    <w:rsid w:val="00ED55BA"/>
    <w:rsid w:val="00ED676E"/>
    <w:rsid w:val="00ED74BA"/>
    <w:rsid w:val="00EE31F4"/>
    <w:rsid w:val="00EE3F48"/>
    <w:rsid w:val="00EF15F0"/>
    <w:rsid w:val="00EF44D1"/>
    <w:rsid w:val="00EF576B"/>
    <w:rsid w:val="00EF7BF4"/>
    <w:rsid w:val="00F005E2"/>
    <w:rsid w:val="00F22FE6"/>
    <w:rsid w:val="00F276A0"/>
    <w:rsid w:val="00F3114A"/>
    <w:rsid w:val="00F33CFC"/>
    <w:rsid w:val="00F34071"/>
    <w:rsid w:val="00F35BBE"/>
    <w:rsid w:val="00F53CA0"/>
    <w:rsid w:val="00F5651D"/>
    <w:rsid w:val="00F62170"/>
    <w:rsid w:val="00F62CA4"/>
    <w:rsid w:val="00F73237"/>
    <w:rsid w:val="00F73511"/>
    <w:rsid w:val="00F73540"/>
    <w:rsid w:val="00F819DB"/>
    <w:rsid w:val="00F91042"/>
    <w:rsid w:val="00F92155"/>
    <w:rsid w:val="00F923BF"/>
    <w:rsid w:val="00F92B98"/>
    <w:rsid w:val="00FA01D2"/>
    <w:rsid w:val="00FA11BE"/>
    <w:rsid w:val="00FA4845"/>
    <w:rsid w:val="00FA6C14"/>
    <w:rsid w:val="00FB7964"/>
    <w:rsid w:val="00FC11D6"/>
    <w:rsid w:val="00FC2901"/>
    <w:rsid w:val="00FD3C98"/>
    <w:rsid w:val="00FD6A0E"/>
    <w:rsid w:val="00FE5266"/>
    <w:rsid w:val="00FE732A"/>
    <w:rsid w:val="00FF0CB9"/>
    <w:rsid w:val="00FF1C78"/>
    <w:rsid w:val="00FF2341"/>
    <w:rsid w:val="00FF5ED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53BBB"/>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773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rsid w:val="000773D1"/>
    <w:pPr>
      <w:tabs>
        <w:tab w:val="center" w:pos="4320"/>
        <w:tab w:val="right" w:pos="8640"/>
      </w:tabs>
    </w:pPr>
  </w:style>
  <w:style w:type="paragraph" w:styleId="Voettekst">
    <w:name w:val="footer"/>
    <w:basedOn w:val="Standaard"/>
    <w:rsid w:val="000773D1"/>
    <w:pPr>
      <w:tabs>
        <w:tab w:val="center" w:pos="4320"/>
        <w:tab w:val="right" w:pos="8640"/>
      </w:tabs>
    </w:pPr>
  </w:style>
  <w:style w:type="character" w:styleId="Paginanummer">
    <w:name w:val="page number"/>
    <w:basedOn w:val="Standaardalinea-lettertype"/>
    <w:rsid w:val="002A40FA"/>
  </w:style>
  <w:style w:type="paragraph" w:styleId="Ballontekst">
    <w:name w:val="Balloon Text"/>
    <w:basedOn w:val="Standaard"/>
    <w:link w:val="BallontekstChar"/>
    <w:rsid w:val="00AA20B4"/>
    <w:rPr>
      <w:rFonts w:ascii="Tahoma" w:hAnsi="Tahoma" w:cs="Tahoma"/>
      <w:sz w:val="16"/>
      <w:szCs w:val="16"/>
    </w:rPr>
  </w:style>
  <w:style w:type="character" w:customStyle="1" w:styleId="BallontekstChar">
    <w:name w:val="Ballontekst Char"/>
    <w:link w:val="Ballontekst"/>
    <w:rsid w:val="00AA20B4"/>
    <w:rPr>
      <w:rFonts w:ascii="Tahoma" w:hAnsi="Tahoma" w:cs="Tahoma"/>
      <w:sz w:val="16"/>
      <w:szCs w:val="16"/>
    </w:rPr>
  </w:style>
  <w:style w:type="paragraph" w:styleId="Lijstalinea">
    <w:name w:val="List Paragraph"/>
    <w:basedOn w:val="Standaard"/>
    <w:uiPriority w:val="34"/>
    <w:qFormat/>
    <w:rsid w:val="00A403A3"/>
    <w:pPr>
      <w:ind w:left="720"/>
    </w:pPr>
  </w:style>
  <w:style w:type="character" w:styleId="Verwijzingopmerking">
    <w:name w:val="annotation reference"/>
    <w:rsid w:val="003C6CAB"/>
    <w:rPr>
      <w:sz w:val="16"/>
      <w:szCs w:val="16"/>
    </w:rPr>
  </w:style>
  <w:style w:type="paragraph" w:styleId="Tekstopmerking">
    <w:name w:val="annotation text"/>
    <w:basedOn w:val="Standaard"/>
    <w:link w:val="TekstopmerkingChar"/>
    <w:rsid w:val="003C6CAB"/>
    <w:rPr>
      <w:sz w:val="20"/>
      <w:szCs w:val="20"/>
    </w:rPr>
  </w:style>
  <w:style w:type="character" w:customStyle="1" w:styleId="TekstopmerkingChar">
    <w:name w:val="Tekst opmerking Char"/>
    <w:link w:val="Tekstopmerking"/>
    <w:rsid w:val="003C6CAB"/>
    <w:rPr>
      <w:lang w:val="en-US" w:eastAsia="en-US"/>
    </w:rPr>
  </w:style>
  <w:style w:type="paragraph" w:styleId="Onderwerpvanopmerking">
    <w:name w:val="annotation subject"/>
    <w:basedOn w:val="Tekstopmerking"/>
    <w:next w:val="Tekstopmerking"/>
    <w:link w:val="OnderwerpvanopmerkingChar"/>
    <w:rsid w:val="003C6CAB"/>
    <w:rPr>
      <w:b/>
      <w:bCs/>
    </w:rPr>
  </w:style>
  <w:style w:type="character" w:customStyle="1" w:styleId="OnderwerpvanopmerkingChar">
    <w:name w:val="Onderwerp van opmerking Char"/>
    <w:link w:val="Onderwerpvanopmerking"/>
    <w:rsid w:val="003C6CAB"/>
    <w:rPr>
      <w:b/>
      <w:bCs/>
      <w:lang w:val="en-US" w:eastAsia="en-US"/>
    </w:rPr>
  </w:style>
  <w:style w:type="paragraph" w:styleId="Revisie">
    <w:name w:val="Revision"/>
    <w:hidden/>
    <w:uiPriority w:val="99"/>
    <w:semiHidden/>
    <w:rsid w:val="003C6CAB"/>
    <w:rPr>
      <w:sz w:val="24"/>
      <w:szCs w:val="24"/>
    </w:rPr>
  </w:style>
  <w:style w:type="paragraph" w:customStyle="1" w:styleId="Default">
    <w:name w:val="Default"/>
    <w:rsid w:val="00B36B0A"/>
    <w:pPr>
      <w:autoSpaceDE w:val="0"/>
      <w:autoSpaceDN w:val="0"/>
      <w:adjustRightInd w:val="0"/>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73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773D1"/>
    <w:pPr>
      <w:tabs>
        <w:tab w:val="center" w:pos="4320"/>
        <w:tab w:val="right" w:pos="8640"/>
      </w:tabs>
    </w:pPr>
  </w:style>
  <w:style w:type="paragraph" w:styleId="Footer">
    <w:name w:val="footer"/>
    <w:basedOn w:val="Normal"/>
    <w:rsid w:val="000773D1"/>
    <w:pPr>
      <w:tabs>
        <w:tab w:val="center" w:pos="4320"/>
        <w:tab w:val="right" w:pos="8640"/>
      </w:tabs>
    </w:pPr>
  </w:style>
  <w:style w:type="character" w:styleId="PageNumber">
    <w:name w:val="page number"/>
    <w:basedOn w:val="DefaultParagraphFont"/>
    <w:rsid w:val="002A40FA"/>
  </w:style>
  <w:style w:type="paragraph" w:styleId="BalloonText">
    <w:name w:val="Balloon Text"/>
    <w:basedOn w:val="Normal"/>
    <w:link w:val="BalloonTextChar"/>
    <w:rsid w:val="00AA20B4"/>
    <w:rPr>
      <w:rFonts w:ascii="Tahoma" w:hAnsi="Tahoma" w:cs="Tahoma"/>
      <w:sz w:val="16"/>
      <w:szCs w:val="16"/>
    </w:rPr>
  </w:style>
  <w:style w:type="character" w:customStyle="1" w:styleId="BalloonTextChar">
    <w:name w:val="Balloon Text Char"/>
    <w:link w:val="BalloonText"/>
    <w:rsid w:val="00AA20B4"/>
    <w:rPr>
      <w:rFonts w:ascii="Tahoma" w:hAnsi="Tahoma" w:cs="Tahoma"/>
      <w:sz w:val="16"/>
      <w:szCs w:val="16"/>
    </w:rPr>
  </w:style>
  <w:style w:type="paragraph" w:styleId="ListParagraph">
    <w:name w:val="List Paragraph"/>
    <w:basedOn w:val="Normal"/>
    <w:uiPriority w:val="34"/>
    <w:qFormat/>
    <w:rsid w:val="00A403A3"/>
    <w:pPr>
      <w:ind w:left="720"/>
    </w:pPr>
  </w:style>
  <w:style w:type="character" w:styleId="CommentReference">
    <w:name w:val="annotation reference"/>
    <w:rsid w:val="003C6CAB"/>
    <w:rPr>
      <w:sz w:val="16"/>
      <w:szCs w:val="16"/>
    </w:rPr>
  </w:style>
  <w:style w:type="paragraph" w:styleId="CommentText">
    <w:name w:val="annotation text"/>
    <w:basedOn w:val="Normal"/>
    <w:link w:val="CommentTextChar"/>
    <w:rsid w:val="003C6CAB"/>
    <w:rPr>
      <w:sz w:val="20"/>
      <w:szCs w:val="20"/>
    </w:rPr>
  </w:style>
  <w:style w:type="character" w:customStyle="1" w:styleId="CommentTextChar">
    <w:name w:val="Comment Text Char"/>
    <w:link w:val="CommentText"/>
    <w:rsid w:val="003C6CAB"/>
    <w:rPr>
      <w:lang w:val="en-US" w:eastAsia="en-US"/>
    </w:rPr>
  </w:style>
  <w:style w:type="paragraph" w:styleId="CommentSubject">
    <w:name w:val="annotation subject"/>
    <w:basedOn w:val="CommentText"/>
    <w:next w:val="CommentText"/>
    <w:link w:val="CommentSubjectChar"/>
    <w:rsid w:val="003C6CAB"/>
    <w:rPr>
      <w:b/>
      <w:bCs/>
    </w:rPr>
  </w:style>
  <w:style w:type="character" w:customStyle="1" w:styleId="CommentSubjectChar">
    <w:name w:val="Comment Subject Char"/>
    <w:link w:val="CommentSubject"/>
    <w:rsid w:val="003C6CAB"/>
    <w:rPr>
      <w:b/>
      <w:bCs/>
      <w:lang w:val="en-US" w:eastAsia="en-US"/>
    </w:rPr>
  </w:style>
  <w:style w:type="paragraph" w:styleId="Revision">
    <w:name w:val="Revision"/>
    <w:hidden/>
    <w:uiPriority w:val="99"/>
    <w:semiHidden/>
    <w:rsid w:val="003C6CAB"/>
    <w:rPr>
      <w:sz w:val="24"/>
      <w:szCs w:val="24"/>
    </w:rPr>
  </w:style>
  <w:style w:type="paragraph" w:customStyle="1" w:styleId="Default">
    <w:name w:val="Default"/>
    <w:rsid w:val="00B36B0A"/>
    <w:pPr>
      <w:autoSpaceDE w:val="0"/>
      <w:autoSpaceDN w:val="0"/>
      <w:adjustRightInd w:val="0"/>
    </w:pPr>
    <w:rPr>
      <w:rFonts w:ascii="Arial" w:hAnsi="Arial" w:cs="Arial"/>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37357467">
      <w:bodyDiv w:val="1"/>
      <w:marLeft w:val="0"/>
      <w:marRight w:val="0"/>
      <w:marTop w:val="0"/>
      <w:marBottom w:val="0"/>
      <w:divBdr>
        <w:top w:val="none" w:sz="0" w:space="0" w:color="auto"/>
        <w:left w:val="none" w:sz="0" w:space="0" w:color="auto"/>
        <w:bottom w:val="none" w:sz="0" w:space="0" w:color="auto"/>
        <w:right w:val="none" w:sz="0" w:space="0" w:color="auto"/>
      </w:divBdr>
    </w:div>
    <w:div w:id="401682421">
      <w:bodyDiv w:val="1"/>
      <w:marLeft w:val="0"/>
      <w:marRight w:val="0"/>
      <w:marTop w:val="0"/>
      <w:marBottom w:val="0"/>
      <w:divBdr>
        <w:top w:val="none" w:sz="0" w:space="0" w:color="auto"/>
        <w:left w:val="none" w:sz="0" w:space="0" w:color="auto"/>
        <w:bottom w:val="none" w:sz="0" w:space="0" w:color="auto"/>
        <w:right w:val="none" w:sz="0" w:space="0" w:color="auto"/>
      </w:divBdr>
    </w:div>
    <w:div w:id="421492986">
      <w:bodyDiv w:val="1"/>
      <w:marLeft w:val="0"/>
      <w:marRight w:val="0"/>
      <w:marTop w:val="0"/>
      <w:marBottom w:val="0"/>
      <w:divBdr>
        <w:top w:val="none" w:sz="0" w:space="0" w:color="auto"/>
        <w:left w:val="none" w:sz="0" w:space="0" w:color="auto"/>
        <w:bottom w:val="none" w:sz="0" w:space="0" w:color="auto"/>
        <w:right w:val="none" w:sz="0" w:space="0" w:color="auto"/>
      </w:divBdr>
    </w:div>
    <w:div w:id="437331176">
      <w:bodyDiv w:val="1"/>
      <w:marLeft w:val="0"/>
      <w:marRight w:val="0"/>
      <w:marTop w:val="0"/>
      <w:marBottom w:val="0"/>
      <w:divBdr>
        <w:top w:val="none" w:sz="0" w:space="0" w:color="auto"/>
        <w:left w:val="none" w:sz="0" w:space="0" w:color="auto"/>
        <w:bottom w:val="none" w:sz="0" w:space="0" w:color="auto"/>
        <w:right w:val="none" w:sz="0" w:space="0" w:color="auto"/>
      </w:divBdr>
    </w:div>
    <w:div w:id="5066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M7HXY6ZP62CE-1431-16</_dlc_DocId>
    <_dlc_DocIdUrl xmlns="faaac0df-efe7-4498-8ba6-14a9bebb9fed">
      <Url>https://doc.ibr-ire.be/fr/_layouts/15/DocIdRedir.aspx?ID=M7HXY6ZP62CE-1431-16</Url>
      <Description>M7HXY6ZP62CE-1431-16</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1BBFA-F8FE-4303-B0FD-89FC0301EE76}"/>
</file>

<file path=customXml/itemProps2.xml><?xml version="1.0" encoding="utf-8"?>
<ds:datastoreItem xmlns:ds="http://schemas.openxmlformats.org/officeDocument/2006/customXml" ds:itemID="{9B14F08E-E6BA-452C-8909-93E1113BC77A}"/>
</file>

<file path=customXml/itemProps3.xml><?xml version="1.0" encoding="utf-8"?>
<ds:datastoreItem xmlns:ds="http://schemas.openxmlformats.org/officeDocument/2006/customXml" ds:itemID="{A0398DB3-2022-46B5-9552-D0F9ED1544A0}"/>
</file>

<file path=customXml/itemProps4.xml><?xml version="1.0" encoding="utf-8"?>
<ds:datastoreItem xmlns:ds="http://schemas.openxmlformats.org/officeDocument/2006/customXml" ds:itemID="{9DEDCFCE-9D5E-4D10-8B4C-45B4BC14FC0F}"/>
</file>

<file path=docProps/app.xml><?xml version="1.0" encoding="utf-8"?>
<Properties xmlns="http://schemas.openxmlformats.org/officeDocument/2006/extended-properties" xmlns:vt="http://schemas.openxmlformats.org/officeDocument/2006/docPropsVTypes">
  <Template>Normal</Template>
  <TotalTime>2</TotalTime>
  <Pages>10</Pages>
  <Words>4011</Words>
  <Characters>22063</Characters>
  <Application>Microsoft Office Word</Application>
  <DocSecurity>0</DocSecurity>
  <Lines>183</Lines>
  <Paragraphs>52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VOORONTWERP</vt:lpstr>
      <vt:lpstr>VOORONTWERP</vt:lpstr>
      <vt:lpstr>VOORONTWERP</vt:lpstr>
    </vt:vector>
  </TitlesOfParts>
  <Company>CBFA</Company>
  <LinksUpToDate>false</LinksUpToDate>
  <CharactersWithSpaces>26022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VOORONTWERP</dc:title>
  <dc:creator>strauven</dc:creator>
  <cp:lastModifiedBy>Vir</cp:lastModifiedBy>
  <cp:revision>2</cp:revision>
  <cp:lastPrinted>2014-08-28T14:42:00Z</cp:lastPrinted>
  <dcterms:created xsi:type="dcterms:W3CDTF">2014-10-30T10:27:00Z</dcterms:created>
  <dcterms:modified xsi:type="dcterms:W3CDTF">2014-10-30T10:27:00Z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0x010100706C9DEE87D3CF47854F31C5443F9A95</vt:lpwstr>
  </property>
  <property fmtid="{D5CDD505-2E9C-101B-9397-08002B2CF9AE}" pid="4" name="_dlc_DocIdItemGuid">
    <vt:lpwstr>beb4f997-956f-4cca-a619-3f9bec9f5333</vt:lpwstr>
  </property>
  <property fmtid="{D5CDD505-2E9C-101B-9397-08002B2CF9AE}" pid="5" name="URL">
    <vt:lpwstr/>
  </property>
  <property fmtid="{D5CDD505-2E9C-101B-9397-08002B2CF9AE}" pid="6" name="DocumentSetDescription">
    <vt:lpwstr/>
  </property>
</Properties>
</file>