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DF32" w14:textId="77777777" w:rsidR="004717B8" w:rsidRDefault="004717B8">
      <w:pPr>
        <w:rPr>
          <w:rFonts w:ascii="Century Gothic" w:hAnsi="Century Gothic" w:cs="Arial"/>
          <w:b/>
          <w:sz w:val="28"/>
          <w:lang w:val="fr-BE"/>
        </w:rPr>
      </w:pPr>
    </w:p>
    <w:p w14:paraId="370AA1C8" w14:textId="0E5C3884" w:rsidR="00900050" w:rsidRPr="00097233" w:rsidRDefault="00097233">
      <w:pPr>
        <w:rPr>
          <w:rFonts w:ascii="Century Gothic" w:hAnsi="Century Gothic" w:cs="Arial"/>
          <w:b/>
          <w:sz w:val="28"/>
          <w:lang w:val="fr-BE"/>
        </w:rPr>
      </w:pPr>
      <w:r>
        <w:rPr>
          <w:rFonts w:ascii="Century Gothic" w:hAnsi="Century Gothic" w:cs="Arial"/>
          <w:b/>
          <w:sz w:val="28"/>
          <w:lang w:val="fr-BE"/>
        </w:rPr>
        <w:t>L</w:t>
      </w:r>
      <w:r w:rsidR="00325DA1" w:rsidRPr="00097233">
        <w:rPr>
          <w:rFonts w:ascii="Century Gothic" w:hAnsi="Century Gothic" w:cs="Arial"/>
          <w:b/>
          <w:sz w:val="28"/>
          <w:lang w:val="fr-BE"/>
        </w:rPr>
        <w:t>ettre de mission de procédures convenues</w:t>
      </w:r>
      <w:r w:rsidR="00AB330C" w:rsidRPr="00097233">
        <w:rPr>
          <w:rFonts w:ascii="Century Gothic" w:hAnsi="Century Gothic" w:cs="Arial"/>
          <w:b/>
          <w:sz w:val="28"/>
          <w:lang w:val="fr-BE"/>
        </w:rPr>
        <w:t xml:space="preserve"> – Mission demandée par la SLRB</w:t>
      </w:r>
      <w:r>
        <w:rPr>
          <w:rFonts w:ascii="Century Gothic" w:hAnsi="Century Gothic" w:cs="Arial"/>
          <w:b/>
          <w:sz w:val="28"/>
          <w:lang w:val="fr-BE"/>
        </w:rPr>
        <w:t xml:space="preserve"> (art. 59 Code du Logement)</w:t>
      </w:r>
    </w:p>
    <w:p w14:paraId="7A3B53E1" w14:textId="77777777" w:rsidR="00097233" w:rsidRDefault="00097233" w:rsidP="00050D0B">
      <w:pPr>
        <w:rPr>
          <w:rFonts w:ascii="Century Gothic" w:hAnsi="Century Gothic" w:cs="Arial"/>
          <w:sz w:val="20"/>
          <w:szCs w:val="20"/>
          <w:lang w:val="fr-BE"/>
        </w:rPr>
      </w:pPr>
    </w:p>
    <w:p w14:paraId="2D9935F7" w14:textId="77777777" w:rsidR="00823C6D" w:rsidRDefault="00050D0B" w:rsidP="00050D0B">
      <w:pPr>
        <w:rPr>
          <w:rFonts w:ascii="Century Gothic" w:hAnsi="Century Gothic"/>
          <w:lang w:val="fr-BE"/>
        </w:rPr>
      </w:pPr>
      <w:r w:rsidRPr="00097233">
        <w:rPr>
          <w:rFonts w:ascii="Century Gothic" w:hAnsi="Century Gothic"/>
          <w:lang w:val="fr-BE"/>
        </w:rPr>
        <w:t xml:space="preserve">SLRB </w:t>
      </w:r>
    </w:p>
    <w:p w14:paraId="54859AB9" w14:textId="77777777" w:rsidR="00823C6D" w:rsidRDefault="00050D0B" w:rsidP="00050D0B">
      <w:pPr>
        <w:rPr>
          <w:rStyle w:val="lrzxr"/>
          <w:rFonts w:ascii="Century Gothic" w:hAnsi="Century Gothic"/>
        </w:rPr>
      </w:pPr>
      <w:r w:rsidRPr="00097233">
        <w:rPr>
          <w:rStyle w:val="lrzxr"/>
          <w:rFonts w:ascii="Century Gothic" w:hAnsi="Century Gothic"/>
        </w:rPr>
        <w:t xml:space="preserve">Avenue de la Toison d'Or 72, </w:t>
      </w:r>
    </w:p>
    <w:p w14:paraId="4C8BCAD5" w14:textId="69B80ADC" w:rsidR="00050D0B" w:rsidRPr="00097233" w:rsidRDefault="00050D0B" w:rsidP="00050D0B">
      <w:pPr>
        <w:rPr>
          <w:rFonts w:ascii="Century Gothic" w:hAnsi="Century Gothic"/>
          <w:lang w:val="fr-BE"/>
        </w:rPr>
      </w:pPr>
      <w:r w:rsidRPr="00097233">
        <w:rPr>
          <w:rStyle w:val="lrzxr"/>
          <w:rFonts w:ascii="Century Gothic" w:hAnsi="Century Gothic"/>
        </w:rPr>
        <w:t>1060 Saint-Gilles</w:t>
      </w:r>
    </w:p>
    <w:p w14:paraId="19863429" w14:textId="77777777" w:rsidR="00050D0B" w:rsidRPr="00097233" w:rsidRDefault="00050D0B" w:rsidP="00050D0B">
      <w:pPr>
        <w:rPr>
          <w:rFonts w:ascii="Century Gothic" w:hAnsi="Century Gothic" w:cs="Arial"/>
          <w:sz w:val="20"/>
          <w:szCs w:val="20"/>
          <w:lang w:val="fr-BE"/>
        </w:rPr>
      </w:pPr>
    </w:p>
    <w:p w14:paraId="0499869B" w14:textId="552ACC88" w:rsidR="00325DA1" w:rsidRPr="00097233" w:rsidRDefault="00097233" w:rsidP="00325DA1">
      <w:pPr>
        <w:jc w:val="right"/>
        <w:rPr>
          <w:rFonts w:ascii="Century Gothic" w:hAnsi="Century Gothic" w:cs="Arial"/>
          <w:i/>
          <w:iCs/>
          <w:lang w:val="fr-BE"/>
        </w:rPr>
      </w:pPr>
      <w:r w:rsidRPr="00097233">
        <w:rPr>
          <w:rFonts w:ascii="Century Gothic" w:hAnsi="Century Gothic" w:cs="Arial"/>
          <w:i/>
          <w:iCs/>
          <w:lang w:val="fr-BE"/>
        </w:rPr>
        <w:t xml:space="preserve">Bruxelles, le </w:t>
      </w:r>
      <w:r w:rsidR="00887CE6">
        <w:rPr>
          <w:rFonts w:ascii="Century Gothic" w:hAnsi="Century Gothic" w:cs="Arial"/>
          <w:i/>
          <w:iCs/>
          <w:lang w:val="fr-BE"/>
        </w:rPr>
        <w:t>XX</w:t>
      </w:r>
      <w:r w:rsidRPr="00097233">
        <w:rPr>
          <w:rFonts w:ascii="Century Gothic" w:hAnsi="Century Gothic" w:cs="Arial"/>
          <w:i/>
          <w:iCs/>
          <w:lang w:val="fr-BE"/>
        </w:rPr>
        <w:t xml:space="preserve"> 2019</w:t>
      </w:r>
    </w:p>
    <w:p w14:paraId="10CD9558" w14:textId="03B47731" w:rsidR="00325DA1" w:rsidRPr="00097233" w:rsidRDefault="00325DA1" w:rsidP="00325DA1">
      <w:pPr>
        <w:rPr>
          <w:rFonts w:ascii="Century Gothic" w:hAnsi="Century Gothic"/>
          <w:lang w:val="fr-BE"/>
        </w:rPr>
      </w:pPr>
      <w:r w:rsidRPr="00097233">
        <w:rPr>
          <w:rFonts w:ascii="Century Gothic" w:hAnsi="Century Gothic"/>
          <w:lang w:val="fr-BE"/>
        </w:rPr>
        <w:t xml:space="preserve">Chère Madame, Cher Monsieur, </w:t>
      </w:r>
    </w:p>
    <w:p w14:paraId="3D4D3A37" w14:textId="77777777" w:rsidR="00DC3619" w:rsidRPr="00097233" w:rsidRDefault="00DC3619" w:rsidP="00325DA1">
      <w:pPr>
        <w:rPr>
          <w:rFonts w:ascii="Century Gothic" w:hAnsi="Century Gothic"/>
          <w:lang w:val="fr-BE"/>
        </w:rPr>
      </w:pPr>
    </w:p>
    <w:p w14:paraId="6A0A1C04" w14:textId="4428D560" w:rsidR="00F84F2A" w:rsidRPr="00097233" w:rsidRDefault="00325DA1" w:rsidP="00325DA1">
      <w:pPr>
        <w:jc w:val="both"/>
        <w:rPr>
          <w:rFonts w:ascii="Century Gothic" w:hAnsi="Century Gothic"/>
          <w:lang w:val="fr-FR"/>
        </w:rPr>
      </w:pPr>
      <w:r w:rsidRPr="00097233">
        <w:rPr>
          <w:rFonts w:ascii="Century Gothic" w:hAnsi="Century Gothic"/>
          <w:lang w:val="fr-FR"/>
        </w:rPr>
        <w:t>Nous avons été nommé</w:t>
      </w:r>
      <w:r w:rsidR="00BD5C83" w:rsidRPr="00097233">
        <w:rPr>
          <w:rFonts w:ascii="Century Gothic" w:hAnsi="Century Gothic"/>
          <w:lang w:val="fr-FR"/>
        </w:rPr>
        <w:t>s</w:t>
      </w:r>
      <w:r w:rsidRPr="00097233">
        <w:rPr>
          <w:rFonts w:ascii="Century Gothic" w:hAnsi="Century Gothic"/>
          <w:lang w:val="fr-FR"/>
        </w:rPr>
        <w:t xml:space="preserve"> en tant que commissaire de </w:t>
      </w:r>
      <w:r w:rsidR="00612237" w:rsidRPr="00097233">
        <w:rPr>
          <w:rFonts w:ascii="Century Gothic" w:hAnsi="Century Gothic"/>
          <w:lang w:val="fr-FR"/>
        </w:rPr>
        <w:t xml:space="preserve">la </w:t>
      </w:r>
      <w:r w:rsidRPr="00097233">
        <w:rPr>
          <w:rFonts w:ascii="Century Gothic" w:hAnsi="Century Gothic"/>
          <w:lang w:val="fr-FR"/>
        </w:rPr>
        <w:t>société</w:t>
      </w:r>
      <w:r w:rsidR="00612237" w:rsidRPr="00097233">
        <w:rPr>
          <w:rFonts w:ascii="Century Gothic" w:hAnsi="Century Gothic"/>
          <w:lang w:val="fr-FR"/>
        </w:rPr>
        <w:t xml:space="preserve"> [NOM DE LA SOCIETE IMMOBILIERE DE SERVICE PUBLIC]</w:t>
      </w:r>
      <w:r w:rsidR="00050D0B" w:rsidRPr="00097233">
        <w:rPr>
          <w:rFonts w:ascii="Century Gothic" w:hAnsi="Century Gothic"/>
          <w:lang w:val="fr-FR"/>
        </w:rPr>
        <w:t xml:space="preserve"> (ci-après </w:t>
      </w:r>
      <w:r w:rsidR="007B353A" w:rsidRPr="00097233">
        <w:rPr>
          <w:rFonts w:ascii="Century Gothic" w:hAnsi="Century Gothic"/>
          <w:lang w:val="fr-FR"/>
        </w:rPr>
        <w:t>dé</w:t>
      </w:r>
      <w:r w:rsidR="00050D0B" w:rsidRPr="00097233">
        <w:rPr>
          <w:rFonts w:ascii="Century Gothic" w:hAnsi="Century Gothic"/>
          <w:lang w:val="fr-FR"/>
        </w:rPr>
        <w:t>nommé « la SISP »)</w:t>
      </w:r>
      <w:r w:rsidRPr="00097233">
        <w:rPr>
          <w:rFonts w:ascii="Century Gothic" w:hAnsi="Century Gothic"/>
          <w:lang w:val="fr-FR"/>
        </w:rPr>
        <w:t xml:space="preserve"> </w:t>
      </w:r>
      <w:r w:rsidR="00F84F2A" w:rsidRPr="00097233">
        <w:rPr>
          <w:rFonts w:ascii="Century Gothic" w:hAnsi="Century Gothic"/>
          <w:lang w:val="fr-FR"/>
        </w:rPr>
        <w:t xml:space="preserve">par l’assemblée générale du XXX </w:t>
      </w:r>
      <w:r w:rsidRPr="00097233">
        <w:rPr>
          <w:rFonts w:ascii="Century Gothic" w:hAnsi="Century Gothic"/>
          <w:lang w:val="fr-FR"/>
        </w:rPr>
        <w:t>pour procéder à l’audit d</w:t>
      </w:r>
      <w:r w:rsidR="00612237" w:rsidRPr="00097233">
        <w:rPr>
          <w:rFonts w:ascii="Century Gothic" w:hAnsi="Century Gothic"/>
          <w:lang w:val="fr-FR"/>
        </w:rPr>
        <w:t>e s</w:t>
      </w:r>
      <w:r w:rsidRPr="00097233">
        <w:rPr>
          <w:rFonts w:ascii="Century Gothic" w:hAnsi="Century Gothic"/>
          <w:lang w:val="fr-FR"/>
        </w:rPr>
        <w:t>es comptes annuels</w:t>
      </w:r>
      <w:r w:rsidR="00F84F2A" w:rsidRPr="00097233">
        <w:rPr>
          <w:rFonts w:ascii="Century Gothic" w:hAnsi="Century Gothic"/>
          <w:lang w:val="fr-FR"/>
        </w:rPr>
        <w:t xml:space="preserve"> relatifs aux années XXXX</w:t>
      </w:r>
      <w:r w:rsidRPr="00097233">
        <w:rPr>
          <w:rFonts w:ascii="Century Gothic" w:hAnsi="Century Gothic"/>
          <w:lang w:val="fr-FR"/>
        </w:rPr>
        <w:t>.</w:t>
      </w:r>
    </w:p>
    <w:p w14:paraId="1093ADC4" w14:textId="5E637F19" w:rsidR="00F84F2A" w:rsidRPr="00097233" w:rsidRDefault="00BD5C83" w:rsidP="00325DA1">
      <w:pPr>
        <w:jc w:val="both"/>
        <w:rPr>
          <w:rFonts w:ascii="Century Gothic" w:hAnsi="Century Gothic"/>
          <w:i/>
          <w:lang w:val="fr-FR"/>
        </w:rPr>
      </w:pPr>
      <w:r w:rsidRPr="00097233">
        <w:rPr>
          <w:rFonts w:ascii="Century Gothic" w:hAnsi="Century Gothic"/>
          <w:lang w:val="fr-FR"/>
        </w:rPr>
        <w:t>En vertu de l’article 59, alinéa 2, du Code du Logement</w:t>
      </w:r>
      <w:r w:rsidR="00DB77A0" w:rsidRPr="00097233">
        <w:rPr>
          <w:rFonts w:ascii="Century Gothic" w:hAnsi="Century Gothic"/>
          <w:lang w:val="fr-FR"/>
        </w:rPr>
        <w:t> : « </w:t>
      </w:r>
      <w:r w:rsidR="00DB77A0" w:rsidRPr="00097233">
        <w:rPr>
          <w:rFonts w:ascii="Century Gothic" w:hAnsi="Century Gothic"/>
          <w:i/>
          <w:lang w:val="fr-FR"/>
        </w:rPr>
        <w:t xml:space="preserve">Le </w:t>
      </w:r>
      <w:r w:rsidRPr="00097233">
        <w:rPr>
          <w:rFonts w:ascii="Century Gothic" w:hAnsi="Century Gothic"/>
          <w:i/>
          <w:lang w:val="fr-FR"/>
        </w:rPr>
        <w:t xml:space="preserve">Gouvernement de la Région de Bruxelles-Capitale, la </w:t>
      </w:r>
      <w:r w:rsidR="00A22CF0" w:rsidRPr="00097233">
        <w:rPr>
          <w:rFonts w:ascii="Century Gothic" w:hAnsi="Century Gothic"/>
          <w:i/>
          <w:lang w:val="fr-FR"/>
        </w:rPr>
        <w:t>SLRB</w:t>
      </w:r>
      <w:r w:rsidR="00050D0B" w:rsidRPr="00097233">
        <w:rPr>
          <w:rFonts w:ascii="Century Gothic" w:hAnsi="Century Gothic"/>
          <w:i/>
          <w:lang w:val="fr-FR"/>
        </w:rPr>
        <w:t xml:space="preserve"> </w:t>
      </w:r>
      <w:r w:rsidRPr="00097233">
        <w:rPr>
          <w:rFonts w:ascii="Century Gothic" w:hAnsi="Century Gothic"/>
          <w:i/>
          <w:lang w:val="fr-FR"/>
        </w:rPr>
        <w:t>ou la SISP peut charger le réviseur</w:t>
      </w:r>
      <w:r w:rsidR="00050D0B" w:rsidRPr="00097233">
        <w:rPr>
          <w:rFonts w:ascii="Century Gothic" w:hAnsi="Century Gothic"/>
          <w:i/>
          <w:lang w:val="fr-FR"/>
        </w:rPr>
        <w:t xml:space="preserve"> </w:t>
      </w:r>
      <w:r w:rsidRPr="00097233">
        <w:rPr>
          <w:rFonts w:ascii="Century Gothic" w:hAnsi="Century Gothic"/>
          <w:i/>
          <w:lang w:val="fr-FR"/>
        </w:rPr>
        <w:t>de missions supplémentaires</w:t>
      </w:r>
      <w:r w:rsidR="00DB77A0" w:rsidRPr="00097233">
        <w:rPr>
          <w:rFonts w:ascii="Century Gothic" w:hAnsi="Century Gothic"/>
          <w:i/>
          <w:lang w:val="fr-FR"/>
        </w:rPr>
        <w:t>.</w:t>
      </w:r>
      <w:r w:rsidRPr="00097233">
        <w:rPr>
          <w:rFonts w:ascii="Century Gothic" w:hAnsi="Century Gothic"/>
          <w:i/>
          <w:lang w:val="fr-FR"/>
        </w:rPr>
        <w:t xml:space="preserve"> </w:t>
      </w:r>
      <w:r w:rsidR="00DB77A0" w:rsidRPr="00097233">
        <w:rPr>
          <w:rFonts w:ascii="Century Gothic" w:hAnsi="Century Gothic"/>
          <w:i/>
          <w:lang w:val="fr-FR"/>
        </w:rPr>
        <w:t xml:space="preserve">Dans ce cas, </w:t>
      </w:r>
      <w:r w:rsidRPr="00097233">
        <w:rPr>
          <w:rFonts w:ascii="Century Gothic" w:hAnsi="Century Gothic"/>
          <w:i/>
          <w:lang w:val="fr-FR"/>
        </w:rPr>
        <w:t xml:space="preserve">le coût des missions supplémentaires est supporté par l'organe qui en fait la demande et que ce dernier en informe la SISP. </w:t>
      </w:r>
    </w:p>
    <w:p w14:paraId="39E70AD0" w14:textId="4D4CAA2C" w:rsidR="00BD5C83" w:rsidRPr="00097233" w:rsidRDefault="00BD5C83" w:rsidP="00325DA1">
      <w:pPr>
        <w:jc w:val="both"/>
        <w:rPr>
          <w:rFonts w:ascii="Century Gothic" w:hAnsi="Century Gothic"/>
          <w:lang w:val="fr-FR"/>
        </w:rPr>
      </w:pPr>
      <w:r w:rsidRPr="00097233">
        <w:rPr>
          <w:rFonts w:ascii="Century Gothic" w:hAnsi="Century Gothic"/>
          <w:lang w:val="fr-FR"/>
        </w:rPr>
        <w:t>Dans sa circulaire n°659</w:t>
      </w:r>
      <w:r w:rsidR="00F84F2A" w:rsidRPr="00097233">
        <w:rPr>
          <w:rFonts w:ascii="Century Gothic" w:hAnsi="Century Gothic"/>
          <w:lang w:val="fr-FR"/>
        </w:rPr>
        <w:t xml:space="preserve"> </w:t>
      </w:r>
      <w:r w:rsidR="003E7D9E" w:rsidRPr="00097233">
        <w:rPr>
          <w:rFonts w:ascii="Century Gothic" w:hAnsi="Century Gothic"/>
          <w:lang w:val="fr-FR"/>
        </w:rPr>
        <w:t xml:space="preserve">du 13 mars </w:t>
      </w:r>
      <w:r w:rsidR="00DB77A0" w:rsidRPr="00097233">
        <w:rPr>
          <w:rFonts w:ascii="Century Gothic" w:hAnsi="Century Gothic"/>
          <w:lang w:val="fr-FR"/>
        </w:rPr>
        <w:t>2019,</w:t>
      </w:r>
      <w:r w:rsidRPr="00097233">
        <w:rPr>
          <w:rFonts w:ascii="Century Gothic" w:hAnsi="Century Gothic"/>
          <w:lang w:val="fr-FR"/>
        </w:rPr>
        <w:t xml:space="preserve"> </w:t>
      </w:r>
      <w:r w:rsidR="003A5F00" w:rsidRPr="00097233">
        <w:rPr>
          <w:rFonts w:ascii="Century Gothic" w:hAnsi="Century Gothic"/>
          <w:lang w:val="fr-FR"/>
        </w:rPr>
        <w:t xml:space="preserve">la Société du Logement de la Région de Bruxelles-Capitale (ci-après dénommé « la SLRB ») </w:t>
      </w:r>
      <w:r w:rsidRPr="00097233">
        <w:rPr>
          <w:rFonts w:ascii="Century Gothic" w:hAnsi="Century Gothic"/>
          <w:lang w:val="fr-FR"/>
        </w:rPr>
        <w:t>nous a confié une mission complémentaire</w:t>
      </w:r>
      <w:r w:rsidR="00050D0B" w:rsidRPr="00097233">
        <w:rPr>
          <w:rFonts w:ascii="Century Gothic" w:hAnsi="Century Gothic"/>
          <w:lang w:val="fr-FR"/>
        </w:rPr>
        <w:t xml:space="preserve"> dans l’extension de la mission au sein de la SISP.</w:t>
      </w:r>
    </w:p>
    <w:p w14:paraId="0BEB6F5B" w14:textId="77777777" w:rsidR="00DB77A0" w:rsidRPr="00097233" w:rsidRDefault="00423660" w:rsidP="00423660">
      <w:pPr>
        <w:jc w:val="both"/>
        <w:rPr>
          <w:rFonts w:ascii="Century Gothic" w:hAnsi="Century Gothic"/>
          <w:lang w:val="fr-FR"/>
        </w:rPr>
      </w:pPr>
      <w:r w:rsidRPr="00097233">
        <w:rPr>
          <w:rFonts w:ascii="Century Gothic" w:hAnsi="Century Gothic"/>
          <w:lang w:val="fr-FR"/>
        </w:rPr>
        <w:t xml:space="preserve">La présente lettre a pour objet de vous confirmer les termes et les objectifs de </w:t>
      </w:r>
      <w:r w:rsidR="00BD5C83" w:rsidRPr="00097233">
        <w:rPr>
          <w:rFonts w:ascii="Century Gothic" w:hAnsi="Century Gothic"/>
          <w:lang w:val="fr-FR"/>
        </w:rPr>
        <w:t>cette</w:t>
      </w:r>
      <w:r w:rsidRPr="00097233">
        <w:rPr>
          <w:rFonts w:ascii="Century Gothic" w:hAnsi="Century Gothic"/>
          <w:lang w:val="fr-FR"/>
        </w:rPr>
        <w:t xml:space="preserve"> mission</w:t>
      </w:r>
      <w:r w:rsidR="00BD5C83" w:rsidRPr="00097233">
        <w:rPr>
          <w:rFonts w:ascii="Century Gothic" w:hAnsi="Century Gothic"/>
          <w:lang w:val="fr-FR"/>
        </w:rPr>
        <w:t>,</w:t>
      </w:r>
      <w:r w:rsidRPr="00097233">
        <w:rPr>
          <w:rFonts w:ascii="Century Gothic" w:hAnsi="Century Gothic"/>
          <w:lang w:val="fr-FR"/>
        </w:rPr>
        <w:t xml:space="preserve"> telle que nous la comprenons</w:t>
      </w:r>
      <w:r w:rsidR="00BD5C83" w:rsidRPr="00097233">
        <w:rPr>
          <w:rFonts w:ascii="Century Gothic" w:hAnsi="Century Gothic"/>
          <w:lang w:val="fr-FR"/>
        </w:rPr>
        <w:t>,</w:t>
      </w:r>
      <w:r w:rsidRPr="00097233">
        <w:rPr>
          <w:rFonts w:ascii="Century Gothic" w:hAnsi="Century Gothic"/>
          <w:lang w:val="fr-FR"/>
        </w:rPr>
        <w:t xml:space="preserve"> ainsi que la nature et les limites des services à fournir. </w:t>
      </w:r>
    </w:p>
    <w:p w14:paraId="6F96B017" w14:textId="3CC80EF2" w:rsidR="00423660" w:rsidRPr="00097233" w:rsidRDefault="00423660" w:rsidP="00423660">
      <w:pPr>
        <w:jc w:val="both"/>
        <w:rPr>
          <w:rFonts w:ascii="Century Gothic" w:hAnsi="Century Gothic"/>
          <w:lang w:val="fr-FR"/>
        </w:rPr>
      </w:pPr>
      <w:r w:rsidRPr="00097233">
        <w:rPr>
          <w:rFonts w:ascii="Century Gothic" w:hAnsi="Century Gothic"/>
          <w:lang w:val="fr-FR"/>
        </w:rPr>
        <w:t>Notre mission sera effectuée selon la norme internationale de service</w:t>
      </w:r>
      <w:r w:rsidR="00097233">
        <w:rPr>
          <w:rFonts w:ascii="Century Gothic" w:hAnsi="Century Gothic"/>
          <w:lang w:val="fr-FR"/>
        </w:rPr>
        <w:t>s</w:t>
      </w:r>
      <w:r w:rsidRPr="00097233">
        <w:rPr>
          <w:rFonts w:ascii="Century Gothic" w:hAnsi="Century Gothic"/>
          <w:lang w:val="fr-FR"/>
        </w:rPr>
        <w:t xml:space="preserve"> </w:t>
      </w:r>
      <w:r w:rsidR="000B1009" w:rsidRPr="00097233">
        <w:rPr>
          <w:rFonts w:ascii="Century Gothic" w:hAnsi="Century Gothic"/>
          <w:lang w:val="fr-FR"/>
        </w:rPr>
        <w:t xml:space="preserve">connexes </w:t>
      </w:r>
      <w:r w:rsidRPr="00097233">
        <w:rPr>
          <w:rFonts w:ascii="Century Gothic" w:hAnsi="Century Gothic"/>
          <w:lang w:val="fr-FR"/>
        </w:rPr>
        <w:t>(</w:t>
      </w:r>
      <w:r w:rsidRPr="00097233">
        <w:rPr>
          <w:rFonts w:ascii="Century Gothic" w:hAnsi="Century Gothic"/>
          <w:i/>
          <w:lang w:val="fr-FR"/>
        </w:rPr>
        <w:t xml:space="preserve">International Standard on </w:t>
      </w:r>
      <w:proofErr w:type="spellStart"/>
      <w:r w:rsidRPr="00097233">
        <w:rPr>
          <w:rFonts w:ascii="Century Gothic" w:hAnsi="Century Gothic"/>
          <w:i/>
          <w:lang w:val="fr-FR"/>
        </w:rPr>
        <w:t>Related</w:t>
      </w:r>
      <w:proofErr w:type="spellEnd"/>
      <w:r w:rsidRPr="00097233">
        <w:rPr>
          <w:rFonts w:ascii="Century Gothic" w:hAnsi="Century Gothic"/>
          <w:i/>
          <w:lang w:val="fr-FR"/>
        </w:rPr>
        <w:t xml:space="preserve"> Services, Norme ISRS</w:t>
      </w:r>
      <w:r w:rsidRPr="00097233">
        <w:rPr>
          <w:rFonts w:ascii="Century Gothic" w:hAnsi="Century Gothic"/>
          <w:lang w:val="fr-FR"/>
        </w:rPr>
        <w:t>)</w:t>
      </w:r>
      <w:r w:rsidR="000B1009" w:rsidRPr="00097233">
        <w:rPr>
          <w:rFonts w:ascii="Century Gothic" w:hAnsi="Century Gothic"/>
          <w:lang w:val="fr-FR"/>
        </w:rPr>
        <w:t xml:space="preserve"> 4400</w:t>
      </w:r>
      <w:r w:rsidRPr="00097233">
        <w:rPr>
          <w:rFonts w:ascii="Century Gothic" w:hAnsi="Century Gothic"/>
          <w:lang w:val="fr-FR"/>
        </w:rPr>
        <w:t xml:space="preserve"> relative</w:t>
      </w:r>
      <w:r w:rsidR="00097233">
        <w:rPr>
          <w:rFonts w:ascii="Century Gothic" w:hAnsi="Century Gothic"/>
          <w:lang w:val="fr-FR"/>
        </w:rPr>
        <w:t>s</w:t>
      </w:r>
      <w:r w:rsidRPr="00097233">
        <w:rPr>
          <w:rFonts w:ascii="Century Gothic" w:hAnsi="Century Gothic"/>
          <w:lang w:val="fr-FR"/>
        </w:rPr>
        <w:t xml:space="preserve"> aux missions de procédures convenues et ceci sera indiqué dans notre rapport.</w:t>
      </w:r>
    </w:p>
    <w:p w14:paraId="49B3B47C" w14:textId="70585F08" w:rsidR="00DB77A0" w:rsidRPr="00097233" w:rsidRDefault="00DB77A0" w:rsidP="00423660">
      <w:pPr>
        <w:jc w:val="both"/>
        <w:rPr>
          <w:rFonts w:ascii="Century Gothic" w:hAnsi="Century Gothic"/>
          <w:lang w:val="fr-FR"/>
        </w:rPr>
      </w:pPr>
      <w:r w:rsidRPr="00097233">
        <w:rPr>
          <w:rFonts w:ascii="Century Gothic" w:hAnsi="Century Gothic"/>
          <w:lang w:val="fr-FR"/>
        </w:rPr>
        <w:t>Ensemble, n</w:t>
      </w:r>
      <w:r w:rsidR="00423660" w:rsidRPr="00097233">
        <w:rPr>
          <w:rFonts w:ascii="Century Gothic" w:hAnsi="Century Gothic"/>
          <w:lang w:val="fr-FR"/>
        </w:rPr>
        <w:t>ous avons convenu de mettre en œuvre les procédures reprises en annexe de la présente lettre de mission et de vous faire part dans notre rapport des constatations de fait issues de nos travaux</w:t>
      </w:r>
      <w:r w:rsidR="00BF4279" w:rsidRPr="00097233">
        <w:rPr>
          <w:rFonts w:ascii="Century Gothic" w:hAnsi="Century Gothic"/>
          <w:lang w:val="fr-FR"/>
        </w:rPr>
        <w:t xml:space="preserve"> portant sur les catégories</w:t>
      </w:r>
      <w:r w:rsidR="00050D0B" w:rsidRPr="00097233">
        <w:rPr>
          <w:rFonts w:ascii="Century Gothic" w:hAnsi="Century Gothic"/>
          <w:lang w:val="fr-FR"/>
        </w:rPr>
        <w:t xml:space="preserve"> suivantes :</w:t>
      </w:r>
      <w:r w:rsidR="00BF4279" w:rsidRPr="00097233">
        <w:rPr>
          <w:rFonts w:ascii="Century Gothic" w:hAnsi="Century Gothic"/>
          <w:lang w:val="fr-FR"/>
        </w:rPr>
        <w:t xml:space="preserve"> </w:t>
      </w:r>
      <w:r w:rsidR="00F94A5A" w:rsidRPr="00097233">
        <w:rPr>
          <w:rFonts w:ascii="Century Gothic" w:hAnsi="Century Gothic"/>
          <w:lang w:val="fr-FR"/>
        </w:rPr>
        <w:t xml:space="preserve">« procédure d’achats », « décompte de charges », « arriérés locatifs », « gestion des stocks » et « intervention dans les logements ». </w:t>
      </w:r>
    </w:p>
    <w:p w14:paraId="33C2C1CE" w14:textId="079F5964" w:rsidR="00DB77A0" w:rsidRPr="00097233" w:rsidRDefault="00DB77A0" w:rsidP="00423660">
      <w:pPr>
        <w:jc w:val="both"/>
        <w:rPr>
          <w:rFonts w:ascii="Century Gothic" w:hAnsi="Century Gothic"/>
          <w:lang w:val="fr-FR"/>
        </w:rPr>
      </w:pPr>
      <w:r w:rsidRPr="00097233">
        <w:rPr>
          <w:rFonts w:ascii="Century Gothic" w:hAnsi="Century Gothic"/>
          <w:lang w:val="fr-FR"/>
        </w:rPr>
        <w:t>Nos travaux seront effectués entre le</w:t>
      </w:r>
      <w:r w:rsidR="00BF4279" w:rsidRPr="00097233">
        <w:rPr>
          <w:rFonts w:ascii="Century Gothic" w:hAnsi="Century Gothic"/>
          <w:lang w:val="fr-FR"/>
        </w:rPr>
        <w:t xml:space="preserve"> 31 août </w:t>
      </w:r>
      <w:r w:rsidRPr="00097233">
        <w:rPr>
          <w:rFonts w:ascii="Century Gothic" w:hAnsi="Century Gothic"/>
          <w:lang w:val="fr-FR"/>
        </w:rPr>
        <w:t xml:space="preserve">et le </w:t>
      </w:r>
      <w:r w:rsidR="00BF4279" w:rsidRPr="00097233">
        <w:rPr>
          <w:rFonts w:ascii="Century Gothic" w:hAnsi="Century Gothic"/>
          <w:lang w:val="fr-FR"/>
        </w:rPr>
        <w:t>1</w:t>
      </w:r>
      <w:r w:rsidR="00097233">
        <w:rPr>
          <w:rFonts w:ascii="Century Gothic" w:hAnsi="Century Gothic"/>
          <w:lang w:val="fr-FR"/>
        </w:rPr>
        <w:t>5</w:t>
      </w:r>
      <w:r w:rsidR="00BF4279" w:rsidRPr="00097233">
        <w:rPr>
          <w:rFonts w:ascii="Century Gothic" w:hAnsi="Century Gothic"/>
          <w:lang w:val="fr-FR"/>
        </w:rPr>
        <w:t xml:space="preserve"> novembre</w:t>
      </w:r>
      <w:r w:rsidR="00F94A5A" w:rsidRPr="00097233">
        <w:rPr>
          <w:rFonts w:ascii="Century Gothic" w:hAnsi="Century Gothic"/>
          <w:lang w:val="fr-FR"/>
        </w:rPr>
        <w:t xml:space="preserve"> 20</w:t>
      </w:r>
      <w:r w:rsidR="00050D0B" w:rsidRPr="00097233">
        <w:rPr>
          <w:rFonts w:ascii="Century Gothic" w:hAnsi="Century Gothic"/>
          <w:lang w:val="fr-FR"/>
        </w:rPr>
        <w:t>19</w:t>
      </w:r>
      <w:r w:rsidRPr="00097233">
        <w:rPr>
          <w:rFonts w:ascii="Century Gothic" w:hAnsi="Century Gothic"/>
          <w:lang w:val="fr-FR"/>
        </w:rPr>
        <w:t>.</w:t>
      </w:r>
    </w:p>
    <w:p w14:paraId="02EE5D18" w14:textId="6A3E9984" w:rsidR="00423660" w:rsidRPr="00097233" w:rsidRDefault="00DB77A0" w:rsidP="00423660">
      <w:pPr>
        <w:jc w:val="both"/>
        <w:rPr>
          <w:rFonts w:ascii="Century Gothic" w:hAnsi="Century Gothic"/>
          <w:lang w:val="fr-FR"/>
        </w:rPr>
      </w:pPr>
      <w:r w:rsidRPr="00097233">
        <w:rPr>
          <w:rFonts w:ascii="Century Gothic" w:hAnsi="Century Gothic"/>
          <w:lang w:val="fr-FR"/>
        </w:rPr>
        <w:t>Notre rapport</w:t>
      </w:r>
      <w:r w:rsidR="00050D0B" w:rsidRPr="00097233">
        <w:rPr>
          <w:rFonts w:ascii="Century Gothic" w:hAnsi="Century Gothic"/>
          <w:lang w:val="fr-FR"/>
        </w:rPr>
        <w:t xml:space="preserve"> vous sera envoyé pour le </w:t>
      </w:r>
      <w:r w:rsidR="00097233">
        <w:rPr>
          <w:rFonts w:ascii="Century Gothic" w:hAnsi="Century Gothic"/>
          <w:lang w:val="fr-FR"/>
        </w:rPr>
        <w:t>18</w:t>
      </w:r>
      <w:r w:rsidR="00050D0B" w:rsidRPr="00097233">
        <w:rPr>
          <w:rFonts w:ascii="Century Gothic" w:hAnsi="Century Gothic"/>
          <w:lang w:val="fr-FR"/>
        </w:rPr>
        <w:t xml:space="preserve"> novembre 2019</w:t>
      </w:r>
      <w:r w:rsidR="00BF4279" w:rsidRPr="00097233">
        <w:rPr>
          <w:rFonts w:ascii="Century Gothic" w:hAnsi="Century Gothic"/>
          <w:lang w:val="fr-FR"/>
        </w:rPr>
        <w:t xml:space="preserve">. </w:t>
      </w:r>
    </w:p>
    <w:p w14:paraId="7743B513" w14:textId="58031E26" w:rsidR="004717B8" w:rsidRDefault="00423660" w:rsidP="00423660">
      <w:pPr>
        <w:jc w:val="both"/>
        <w:rPr>
          <w:rFonts w:ascii="Century Gothic" w:hAnsi="Century Gothic"/>
          <w:lang w:val="fr-FR"/>
        </w:rPr>
      </w:pPr>
      <w:r w:rsidRPr="00097233">
        <w:rPr>
          <w:rFonts w:ascii="Century Gothic" w:hAnsi="Century Gothic"/>
          <w:lang w:val="fr-FR"/>
        </w:rPr>
        <w:lastRenderedPageBreak/>
        <w:t xml:space="preserve">Les procédures que nous mettrons en œuvre visent uniquement à nous aider à </w:t>
      </w:r>
      <w:r w:rsidR="00050D0B" w:rsidRPr="00097233">
        <w:rPr>
          <w:rFonts w:ascii="Century Gothic" w:hAnsi="Century Gothic"/>
          <w:lang w:val="fr-FR"/>
        </w:rPr>
        <w:t xml:space="preserve">vous </w:t>
      </w:r>
      <w:r w:rsidRPr="00097233">
        <w:rPr>
          <w:rFonts w:ascii="Century Gothic" w:hAnsi="Century Gothic"/>
          <w:lang w:val="fr-FR"/>
        </w:rPr>
        <w:t>remettre le rapport de constatations de faits visé dans la Circulaire de la SLRB n°659</w:t>
      </w:r>
      <w:r w:rsidR="00DB77A0" w:rsidRPr="00097233">
        <w:rPr>
          <w:rFonts w:ascii="Century Gothic" w:hAnsi="Century Gothic"/>
          <w:lang w:val="fr-FR"/>
        </w:rPr>
        <w:t xml:space="preserve"> du 13 mars 2019</w:t>
      </w:r>
      <w:r w:rsidRPr="00097233">
        <w:rPr>
          <w:rFonts w:ascii="Century Gothic" w:hAnsi="Century Gothic"/>
          <w:lang w:val="fr-FR"/>
        </w:rPr>
        <w:t>.</w:t>
      </w:r>
      <w:r w:rsidR="00BD5C83" w:rsidRPr="00097233">
        <w:rPr>
          <w:rFonts w:ascii="Century Gothic" w:hAnsi="Century Gothic"/>
          <w:lang w:val="fr-FR"/>
        </w:rPr>
        <w:t xml:space="preserve"> </w:t>
      </w:r>
    </w:p>
    <w:p w14:paraId="62706EEC" w14:textId="54A4F977" w:rsidR="004717B8" w:rsidRDefault="00423660" w:rsidP="00423660">
      <w:pPr>
        <w:jc w:val="both"/>
        <w:rPr>
          <w:rFonts w:ascii="Century Gothic" w:hAnsi="Century Gothic"/>
          <w:lang w:val="fr-FR"/>
        </w:rPr>
      </w:pPr>
      <w:r w:rsidRPr="00097233">
        <w:rPr>
          <w:rFonts w:ascii="Century Gothic" w:hAnsi="Century Gothic"/>
          <w:lang w:val="fr-FR"/>
        </w:rPr>
        <w:t>Notre rapport</w:t>
      </w:r>
      <w:r w:rsidR="00BD5C83" w:rsidRPr="00097233">
        <w:rPr>
          <w:rFonts w:ascii="Century Gothic" w:hAnsi="Century Gothic"/>
          <w:lang w:val="fr-FR"/>
        </w:rPr>
        <w:t xml:space="preserve"> </w:t>
      </w:r>
      <w:r w:rsidRPr="00097233">
        <w:rPr>
          <w:rFonts w:ascii="Century Gothic" w:hAnsi="Century Gothic"/>
          <w:lang w:val="fr-FR"/>
        </w:rPr>
        <w:t xml:space="preserve">ne pourra donc pas être utilisé à d’autres fins </w:t>
      </w:r>
      <w:r w:rsidR="00BD5C83" w:rsidRPr="00097233">
        <w:rPr>
          <w:rFonts w:ascii="Century Gothic" w:hAnsi="Century Gothic"/>
          <w:lang w:val="fr-FR"/>
        </w:rPr>
        <w:t xml:space="preserve">que celles précisées dans la circulaire </w:t>
      </w:r>
      <w:r w:rsidRPr="00097233">
        <w:rPr>
          <w:rFonts w:ascii="Century Gothic" w:hAnsi="Century Gothic"/>
          <w:lang w:val="fr-FR"/>
        </w:rPr>
        <w:t>et est réservé à votre usage personnel.</w:t>
      </w:r>
      <w:r w:rsidR="006C3F2F" w:rsidRPr="00097233">
        <w:rPr>
          <w:rFonts w:ascii="Century Gothic" w:hAnsi="Century Gothic"/>
          <w:lang w:val="fr-FR"/>
        </w:rPr>
        <w:t xml:space="preserve"> </w:t>
      </w:r>
    </w:p>
    <w:p w14:paraId="7D7BEC5F" w14:textId="00F64F8E" w:rsidR="00423660" w:rsidRDefault="00423660" w:rsidP="00423660">
      <w:pPr>
        <w:jc w:val="both"/>
        <w:rPr>
          <w:rFonts w:ascii="Century Gothic" w:hAnsi="Century Gothic"/>
          <w:lang w:val="fr-FR"/>
        </w:rPr>
      </w:pPr>
      <w:r w:rsidRPr="00097233">
        <w:rPr>
          <w:rFonts w:ascii="Century Gothic" w:hAnsi="Century Gothic"/>
          <w:lang w:val="fr-FR"/>
        </w:rPr>
        <w:t>Les procédures que nous mettrons en œuvre ne constitueront ni un audit, ni un examen limité effectué selon les normes internationales d’audit (</w:t>
      </w:r>
      <w:r w:rsidRPr="00097233">
        <w:rPr>
          <w:rFonts w:ascii="Century Gothic" w:hAnsi="Century Gothic"/>
          <w:i/>
          <w:lang w:val="fr-FR"/>
        </w:rPr>
        <w:t>International Standards on Audit</w:t>
      </w:r>
      <w:r w:rsidRPr="00097233">
        <w:rPr>
          <w:rFonts w:ascii="Century Gothic" w:hAnsi="Century Gothic"/>
          <w:lang w:val="fr-FR"/>
        </w:rPr>
        <w:t>, Normes ISA) ou les normes internationales d’examen limité (</w:t>
      </w:r>
      <w:r w:rsidRPr="00097233">
        <w:rPr>
          <w:rFonts w:ascii="Century Gothic" w:hAnsi="Century Gothic"/>
          <w:i/>
          <w:lang w:val="fr-FR"/>
        </w:rPr>
        <w:t xml:space="preserve">International Standards on </w:t>
      </w:r>
      <w:proofErr w:type="spellStart"/>
      <w:r w:rsidRPr="00097233">
        <w:rPr>
          <w:rFonts w:ascii="Century Gothic" w:hAnsi="Century Gothic"/>
          <w:i/>
          <w:lang w:val="fr-FR"/>
        </w:rPr>
        <w:t>Review</w:t>
      </w:r>
      <w:proofErr w:type="spellEnd"/>
      <w:r w:rsidRPr="00097233">
        <w:rPr>
          <w:rFonts w:ascii="Century Gothic" w:hAnsi="Century Gothic"/>
          <w:i/>
          <w:lang w:val="fr-FR"/>
        </w:rPr>
        <w:t xml:space="preserve"> Engagements</w:t>
      </w:r>
      <w:r w:rsidRPr="00097233">
        <w:rPr>
          <w:rFonts w:ascii="Century Gothic" w:hAnsi="Century Gothic"/>
          <w:lang w:val="fr-FR"/>
        </w:rPr>
        <w:t>, Normes ISRE) et, par conséquent, aucun degré d’assurance ne sera exprimé.</w:t>
      </w:r>
    </w:p>
    <w:p w14:paraId="0456A6A6" w14:textId="2AADDC18" w:rsidR="00887CE6" w:rsidRPr="00097233" w:rsidRDefault="00887CE6" w:rsidP="00423660">
      <w:pPr>
        <w:jc w:val="both"/>
        <w:rPr>
          <w:rFonts w:ascii="Century Gothic" w:hAnsi="Century Gothic"/>
          <w:lang w:val="fr-FR"/>
        </w:rPr>
      </w:pPr>
      <w:r w:rsidRPr="00887CE6">
        <w:rPr>
          <w:rFonts w:ascii="Century Gothic" w:hAnsi="Century Gothic"/>
          <w:lang w:val="fr-FR"/>
        </w:rPr>
        <w:t xml:space="preserve">Les conditions générales sont définies par le cadre contractuel général des prestations ci-annexé/publié sur notre site internet à l’adresse suivante [adresse page site internet] qui précise plus en détail la relation contractuelle dans le contexte de notre présente mission. La présente lettre de mission et les conditions générales constituent l’intégralité de la convention entre nous et la </w:t>
      </w:r>
      <w:r>
        <w:rPr>
          <w:rFonts w:ascii="Century Gothic" w:hAnsi="Century Gothic"/>
          <w:lang w:val="fr-FR"/>
        </w:rPr>
        <w:t>SLRB</w:t>
      </w:r>
      <w:r w:rsidRPr="00887CE6">
        <w:rPr>
          <w:rFonts w:ascii="Century Gothic" w:hAnsi="Century Gothic"/>
          <w:lang w:val="fr-FR"/>
        </w:rPr>
        <w:t xml:space="preserve"> en ce qui concerne la présente mission. Par la signature de la présente lettre de mission ces conditions générales sont acceptées expressément par la </w:t>
      </w:r>
      <w:r>
        <w:rPr>
          <w:rFonts w:ascii="Century Gothic" w:hAnsi="Century Gothic"/>
          <w:lang w:val="fr-FR"/>
        </w:rPr>
        <w:t>SLRB</w:t>
      </w:r>
      <w:r w:rsidRPr="00887CE6">
        <w:rPr>
          <w:rFonts w:ascii="Century Gothic" w:hAnsi="Century Gothic"/>
          <w:lang w:val="fr-FR"/>
        </w:rPr>
        <w:t>. En cas de divergence entre la présente lettre de mission et les conditions générales, ces dernières prévaudront, sauf lorsqu’elles sont modifiées dans la lettre de mission par voie de référence spécifique à la clause pertinente des conditions générales</w:t>
      </w:r>
      <w:r>
        <w:rPr>
          <w:rFonts w:ascii="Century Gothic" w:hAnsi="Century Gothic"/>
          <w:lang w:val="fr-FR"/>
        </w:rPr>
        <w:t>.</w:t>
      </w:r>
    </w:p>
    <w:p w14:paraId="1F2C47FE" w14:textId="66797B6C" w:rsidR="00DB77A0" w:rsidRPr="00097233" w:rsidRDefault="00BD5C83" w:rsidP="00423660">
      <w:pPr>
        <w:jc w:val="both"/>
        <w:rPr>
          <w:rFonts w:ascii="Century Gothic" w:hAnsi="Century Gothic"/>
          <w:lang w:val="fr-FR"/>
        </w:rPr>
      </w:pPr>
      <w:r w:rsidRPr="00097233">
        <w:rPr>
          <w:rFonts w:ascii="Century Gothic" w:hAnsi="Century Gothic"/>
          <w:lang w:val="fr-FR"/>
        </w:rPr>
        <w:t>Dans la mesure où cette mission est réalisée dans une société immobilière de service public, dans le cadre de l’article 59 alinéa 2 du Code du Logement, nous communiquerons</w:t>
      </w:r>
      <w:r w:rsidR="006C3F2F" w:rsidRPr="00097233">
        <w:rPr>
          <w:rFonts w:ascii="Century Gothic" w:hAnsi="Century Gothic"/>
          <w:lang w:val="fr-FR"/>
        </w:rPr>
        <w:t xml:space="preserve"> </w:t>
      </w:r>
      <w:r w:rsidR="00064711" w:rsidRPr="00097233">
        <w:rPr>
          <w:rFonts w:ascii="Century Gothic" w:hAnsi="Century Gothic"/>
          <w:lang w:val="fr-FR"/>
        </w:rPr>
        <w:t xml:space="preserve">oralement </w:t>
      </w:r>
      <w:r w:rsidR="00BB2759" w:rsidRPr="00097233">
        <w:rPr>
          <w:rFonts w:ascii="Century Gothic" w:hAnsi="Century Gothic"/>
          <w:lang w:val="fr-FR"/>
        </w:rPr>
        <w:t xml:space="preserve">dans le cadre d’un </w:t>
      </w:r>
      <w:r w:rsidR="00D33C05">
        <w:rPr>
          <w:rFonts w:ascii="Century Gothic" w:hAnsi="Century Gothic"/>
          <w:lang w:val="fr-FR"/>
        </w:rPr>
        <w:t>« </w:t>
      </w:r>
      <w:proofErr w:type="spellStart"/>
      <w:r w:rsidR="00BB2759" w:rsidRPr="00097233">
        <w:rPr>
          <w:rFonts w:ascii="Century Gothic" w:hAnsi="Century Gothic"/>
          <w:i/>
          <w:lang w:val="fr-FR"/>
        </w:rPr>
        <w:t>closing</w:t>
      </w:r>
      <w:proofErr w:type="spellEnd"/>
      <w:r w:rsidR="00BB2759" w:rsidRPr="00097233">
        <w:rPr>
          <w:rFonts w:ascii="Century Gothic" w:hAnsi="Century Gothic"/>
          <w:i/>
          <w:lang w:val="fr-FR"/>
        </w:rPr>
        <w:t xml:space="preserve"> meeting</w:t>
      </w:r>
      <w:r w:rsidR="00D33C05">
        <w:rPr>
          <w:rFonts w:ascii="Century Gothic" w:hAnsi="Century Gothic"/>
          <w:i/>
          <w:lang w:val="fr-FR"/>
        </w:rPr>
        <w:t> »</w:t>
      </w:r>
      <w:r w:rsidR="00BB2759" w:rsidRPr="00097233">
        <w:rPr>
          <w:rFonts w:ascii="Century Gothic" w:hAnsi="Century Gothic"/>
          <w:lang w:val="fr-FR"/>
        </w:rPr>
        <w:t xml:space="preserve"> aux personnes en charge de la gestion journalière de la</w:t>
      </w:r>
      <w:r w:rsidR="00050D0B" w:rsidRPr="00097233">
        <w:rPr>
          <w:rFonts w:ascii="Century Gothic" w:hAnsi="Century Gothic"/>
          <w:lang w:val="fr-FR"/>
        </w:rPr>
        <w:t xml:space="preserve"> SISP </w:t>
      </w:r>
      <w:r w:rsidRPr="00097233">
        <w:rPr>
          <w:rFonts w:ascii="Century Gothic" w:hAnsi="Century Gothic"/>
          <w:lang w:val="fr-FR"/>
        </w:rPr>
        <w:t xml:space="preserve">les principales constations suite à nos travaux, et ce avant émission de notre rapport. </w:t>
      </w:r>
    </w:p>
    <w:p w14:paraId="0C71BD7C" w14:textId="57A32BE5" w:rsidR="00DB77A0" w:rsidRPr="00097233" w:rsidRDefault="00DB77A0" w:rsidP="00423660">
      <w:pPr>
        <w:jc w:val="both"/>
        <w:rPr>
          <w:rFonts w:ascii="Century Gothic" w:hAnsi="Century Gothic"/>
          <w:lang w:val="fr-FR"/>
        </w:rPr>
      </w:pPr>
      <w:r w:rsidRPr="00097233">
        <w:rPr>
          <w:rFonts w:ascii="Century Gothic" w:hAnsi="Century Gothic"/>
          <w:lang w:val="fr-FR"/>
        </w:rPr>
        <w:t>Notre rapport sera uniquement adressé à la SLRB</w:t>
      </w:r>
      <w:r w:rsidR="00F61357" w:rsidRPr="00097233">
        <w:rPr>
          <w:rFonts w:ascii="Century Gothic" w:hAnsi="Century Gothic"/>
          <w:lang w:val="fr-FR"/>
        </w:rPr>
        <w:t xml:space="preserve">, qui </w:t>
      </w:r>
      <w:r w:rsidRPr="00097233">
        <w:rPr>
          <w:rFonts w:ascii="Century Gothic" w:hAnsi="Century Gothic"/>
          <w:lang w:val="fr-FR"/>
        </w:rPr>
        <w:t xml:space="preserve">elle seule pourra </w:t>
      </w:r>
      <w:r w:rsidR="00F61357" w:rsidRPr="00097233">
        <w:rPr>
          <w:rFonts w:ascii="Century Gothic" w:hAnsi="Century Gothic"/>
          <w:lang w:val="fr-FR"/>
        </w:rPr>
        <w:t>le</w:t>
      </w:r>
      <w:r w:rsidR="00BB2759" w:rsidRPr="00097233">
        <w:rPr>
          <w:rFonts w:ascii="Century Gothic" w:hAnsi="Century Gothic"/>
          <w:lang w:val="fr-FR"/>
        </w:rPr>
        <w:t xml:space="preserve"> communiqu</w:t>
      </w:r>
      <w:r w:rsidR="00F61357" w:rsidRPr="00097233">
        <w:rPr>
          <w:rFonts w:ascii="Century Gothic" w:hAnsi="Century Gothic"/>
          <w:lang w:val="fr-FR"/>
        </w:rPr>
        <w:t>er</w:t>
      </w:r>
      <w:r w:rsidR="00BB2759" w:rsidRPr="00097233">
        <w:rPr>
          <w:rFonts w:ascii="Century Gothic" w:hAnsi="Century Gothic"/>
          <w:lang w:val="fr-FR"/>
        </w:rPr>
        <w:t xml:space="preserve"> à la SISP concernée.</w:t>
      </w:r>
      <w:r w:rsidR="00050D0B" w:rsidRPr="00097233">
        <w:rPr>
          <w:rFonts w:ascii="Century Gothic" w:hAnsi="Century Gothic"/>
          <w:lang w:val="fr-FR"/>
        </w:rPr>
        <w:t xml:space="preserve"> </w:t>
      </w:r>
    </w:p>
    <w:p w14:paraId="1627FD36" w14:textId="2522452A" w:rsidR="00BD5C83" w:rsidRPr="00097233" w:rsidRDefault="00DC3619" w:rsidP="00423660">
      <w:pPr>
        <w:jc w:val="both"/>
        <w:rPr>
          <w:rFonts w:ascii="Century Gothic" w:hAnsi="Century Gothic"/>
          <w:lang w:val="fr-FR"/>
        </w:rPr>
      </w:pPr>
      <w:r w:rsidRPr="00097233">
        <w:rPr>
          <w:rStyle w:val="tlid-translation"/>
          <w:rFonts w:ascii="Century Gothic" w:hAnsi="Century Gothic"/>
          <w:lang w:val="fr-FR"/>
        </w:rPr>
        <w:t>Notre</w:t>
      </w:r>
      <w:r w:rsidR="00050D0B" w:rsidRPr="00097233">
        <w:rPr>
          <w:rStyle w:val="tlid-translation"/>
          <w:rFonts w:ascii="Century Gothic" w:hAnsi="Century Gothic"/>
          <w:lang w:val="fr-FR"/>
        </w:rPr>
        <w:t xml:space="preserve"> rapport ne peut être </w:t>
      </w:r>
      <w:r w:rsidRPr="00097233">
        <w:rPr>
          <w:rStyle w:val="tlid-translation"/>
          <w:rFonts w:ascii="Century Gothic" w:hAnsi="Century Gothic"/>
          <w:lang w:val="fr-FR"/>
        </w:rPr>
        <w:t>communiqué</w:t>
      </w:r>
      <w:r w:rsidR="00050D0B" w:rsidRPr="00097233">
        <w:rPr>
          <w:rStyle w:val="tlid-translation"/>
          <w:rFonts w:ascii="Century Gothic" w:hAnsi="Century Gothic"/>
          <w:lang w:val="fr-FR"/>
        </w:rPr>
        <w:t xml:space="preserve"> à d'autres parties, tels que le </w:t>
      </w:r>
      <w:r w:rsidR="00D33C05">
        <w:rPr>
          <w:rStyle w:val="tlid-translation"/>
          <w:rFonts w:ascii="Century Gothic" w:hAnsi="Century Gothic"/>
          <w:lang w:val="fr-FR"/>
        </w:rPr>
        <w:t>G</w:t>
      </w:r>
      <w:r w:rsidR="00050D0B" w:rsidRPr="00097233">
        <w:rPr>
          <w:rStyle w:val="tlid-translation"/>
          <w:rFonts w:ascii="Century Gothic" w:hAnsi="Century Gothic"/>
          <w:lang w:val="fr-FR"/>
        </w:rPr>
        <w:t>ouvernement,</w:t>
      </w:r>
      <w:r w:rsidR="00D33C05">
        <w:rPr>
          <w:rStyle w:val="tlid-translation"/>
          <w:rFonts w:ascii="Century Gothic" w:hAnsi="Century Gothic"/>
          <w:lang w:val="fr-FR"/>
        </w:rPr>
        <w:t xml:space="preserve"> </w:t>
      </w:r>
      <w:r w:rsidR="00DB77A0" w:rsidRPr="00097233">
        <w:rPr>
          <w:rStyle w:val="tlid-translation"/>
          <w:rFonts w:ascii="Century Gothic" w:hAnsi="Century Gothic"/>
          <w:lang w:val="fr-FR"/>
        </w:rPr>
        <w:t xml:space="preserve">ou autre </w:t>
      </w:r>
      <w:r w:rsidRPr="00097233">
        <w:rPr>
          <w:rStyle w:val="tlid-translation"/>
          <w:rFonts w:ascii="Century Gothic" w:hAnsi="Century Gothic"/>
          <w:lang w:val="fr-FR"/>
        </w:rPr>
        <w:t>qu’avec</w:t>
      </w:r>
      <w:r w:rsidR="00050D0B" w:rsidRPr="00097233">
        <w:rPr>
          <w:rStyle w:val="tlid-translation"/>
          <w:rFonts w:ascii="Century Gothic" w:hAnsi="Century Gothic"/>
          <w:lang w:val="fr-FR"/>
        </w:rPr>
        <w:t xml:space="preserve"> notre accord </w:t>
      </w:r>
      <w:r w:rsidR="00DB77A0" w:rsidRPr="00097233">
        <w:rPr>
          <w:rStyle w:val="tlid-translation"/>
          <w:rFonts w:ascii="Century Gothic" w:hAnsi="Century Gothic"/>
          <w:lang w:val="fr-FR"/>
        </w:rPr>
        <w:t xml:space="preserve">écrit </w:t>
      </w:r>
      <w:r w:rsidR="00050D0B" w:rsidRPr="00097233">
        <w:rPr>
          <w:rStyle w:val="tlid-translation"/>
          <w:rFonts w:ascii="Century Gothic" w:hAnsi="Century Gothic"/>
          <w:lang w:val="fr-FR"/>
        </w:rPr>
        <w:t xml:space="preserve">préalable. </w:t>
      </w:r>
      <w:r w:rsidR="00BB2759" w:rsidRPr="00097233">
        <w:rPr>
          <w:rFonts w:ascii="Century Gothic" w:hAnsi="Century Gothic"/>
          <w:lang w:val="fr-FR"/>
        </w:rPr>
        <w:t xml:space="preserve"> </w:t>
      </w:r>
    </w:p>
    <w:p w14:paraId="29DBD2EF" w14:textId="77777777" w:rsidR="00DB77A0" w:rsidRPr="00097233" w:rsidRDefault="00BD5C83" w:rsidP="00423660">
      <w:pPr>
        <w:jc w:val="both"/>
        <w:rPr>
          <w:rFonts w:ascii="Century Gothic" w:hAnsi="Century Gothic"/>
          <w:lang w:val="fr-FR"/>
        </w:rPr>
      </w:pPr>
      <w:r w:rsidRPr="00097233">
        <w:rPr>
          <w:rFonts w:ascii="Century Gothic" w:hAnsi="Century Gothic"/>
          <w:lang w:val="fr-FR"/>
        </w:rPr>
        <w:t>Pour la réalisation de notre mission, n</w:t>
      </w:r>
      <w:r w:rsidR="00423660" w:rsidRPr="00097233">
        <w:rPr>
          <w:rFonts w:ascii="Century Gothic" w:hAnsi="Century Gothic"/>
          <w:lang w:val="fr-FR"/>
        </w:rPr>
        <w:t>ous compto</w:t>
      </w:r>
      <w:r w:rsidRPr="00097233">
        <w:rPr>
          <w:rFonts w:ascii="Century Gothic" w:hAnsi="Century Gothic"/>
          <w:lang w:val="fr-FR"/>
        </w:rPr>
        <w:t xml:space="preserve">ns sur l’entière coopération du </w:t>
      </w:r>
      <w:r w:rsidR="00423660" w:rsidRPr="00097233">
        <w:rPr>
          <w:rFonts w:ascii="Century Gothic" w:hAnsi="Century Gothic"/>
          <w:lang w:val="fr-FR"/>
        </w:rPr>
        <w:t xml:space="preserve">personnel </w:t>
      </w:r>
      <w:r w:rsidRPr="00097233">
        <w:rPr>
          <w:rFonts w:ascii="Century Gothic" w:hAnsi="Century Gothic"/>
          <w:lang w:val="fr-FR"/>
        </w:rPr>
        <w:t xml:space="preserve">de la SISP et de la SLRB </w:t>
      </w:r>
      <w:r w:rsidR="00423660" w:rsidRPr="00097233">
        <w:rPr>
          <w:rFonts w:ascii="Century Gothic" w:hAnsi="Century Gothic"/>
          <w:lang w:val="fr-FR"/>
        </w:rPr>
        <w:t xml:space="preserve">afin </w:t>
      </w:r>
      <w:r w:rsidR="006C3F2F" w:rsidRPr="00097233">
        <w:rPr>
          <w:rFonts w:ascii="Century Gothic" w:hAnsi="Century Gothic"/>
          <w:lang w:val="fr-FR"/>
        </w:rPr>
        <w:t xml:space="preserve">qu’elles </w:t>
      </w:r>
      <w:r w:rsidR="00423660" w:rsidRPr="00097233">
        <w:rPr>
          <w:rFonts w:ascii="Century Gothic" w:hAnsi="Century Gothic"/>
          <w:lang w:val="fr-FR"/>
        </w:rPr>
        <w:t>mette</w:t>
      </w:r>
      <w:r w:rsidR="006C3F2F" w:rsidRPr="00097233">
        <w:rPr>
          <w:rFonts w:ascii="Century Gothic" w:hAnsi="Century Gothic"/>
          <w:lang w:val="fr-FR"/>
        </w:rPr>
        <w:t>nt</w:t>
      </w:r>
      <w:r w:rsidR="00423660" w:rsidRPr="00097233">
        <w:rPr>
          <w:rFonts w:ascii="Century Gothic" w:hAnsi="Century Gothic"/>
          <w:lang w:val="fr-FR"/>
        </w:rPr>
        <w:t xml:space="preserve"> à notre disposition tous les documents, toute la documentation et autres informations demandés dans le cadre de notre mission.</w:t>
      </w:r>
      <w:r w:rsidR="00F94A5A" w:rsidRPr="00097233">
        <w:rPr>
          <w:rFonts w:ascii="Century Gothic" w:hAnsi="Century Gothic"/>
          <w:lang w:val="fr-FR"/>
        </w:rPr>
        <w:t xml:space="preserve"> </w:t>
      </w:r>
    </w:p>
    <w:p w14:paraId="1729CE78" w14:textId="7137D318" w:rsidR="00423660" w:rsidRPr="00097233" w:rsidRDefault="00F94A5A" w:rsidP="00423660">
      <w:pPr>
        <w:jc w:val="both"/>
        <w:rPr>
          <w:rFonts w:ascii="Century Gothic" w:hAnsi="Century Gothic"/>
          <w:lang w:val="fr-FR"/>
        </w:rPr>
      </w:pPr>
      <w:r w:rsidRPr="00097233">
        <w:rPr>
          <w:rFonts w:ascii="Century Gothic" w:hAnsi="Century Gothic"/>
          <w:lang w:val="fr-FR"/>
        </w:rPr>
        <w:t xml:space="preserve">En cas de difficultés rencontrées, nous préviendrons immédiatement la SLRB. </w:t>
      </w:r>
      <w:r w:rsidR="00423660" w:rsidRPr="00097233">
        <w:rPr>
          <w:rFonts w:ascii="Century Gothic" w:hAnsi="Century Gothic"/>
          <w:lang w:val="fr-FR"/>
        </w:rPr>
        <w:t xml:space="preserve"> </w:t>
      </w:r>
    </w:p>
    <w:p w14:paraId="39E2A0DE" w14:textId="29D7D007" w:rsidR="00423660" w:rsidRPr="00097233" w:rsidRDefault="00423660" w:rsidP="006B0BE2">
      <w:pPr>
        <w:jc w:val="both"/>
        <w:rPr>
          <w:rFonts w:ascii="Century Gothic" w:hAnsi="Century Gothic"/>
          <w:lang w:val="fr-FR"/>
        </w:rPr>
      </w:pPr>
      <w:r w:rsidRPr="00097233">
        <w:rPr>
          <w:rFonts w:ascii="Century Gothic" w:hAnsi="Century Gothic"/>
          <w:lang w:val="fr-FR"/>
        </w:rPr>
        <w:t>Nos honoraires pour la rédacti</w:t>
      </w:r>
      <w:r w:rsidR="00BD5C83" w:rsidRPr="00097233">
        <w:rPr>
          <w:rFonts w:ascii="Century Gothic" w:hAnsi="Century Gothic"/>
          <w:lang w:val="fr-FR"/>
        </w:rPr>
        <w:t>on de ce rapport seront calculé</w:t>
      </w:r>
      <w:r w:rsidRPr="00097233">
        <w:rPr>
          <w:rFonts w:ascii="Century Gothic" w:hAnsi="Century Gothic"/>
          <w:lang w:val="fr-FR"/>
        </w:rPr>
        <w:t xml:space="preserve">s </w:t>
      </w:r>
      <w:r w:rsidR="006B0BE2" w:rsidRPr="00097233">
        <w:rPr>
          <w:rFonts w:ascii="Century Gothic" w:hAnsi="Century Gothic"/>
          <w:lang w:val="fr-FR"/>
        </w:rPr>
        <w:t xml:space="preserve">sur la base de dix jours d’expertise, avec un maximum de </w:t>
      </w:r>
      <w:r w:rsidR="006B0BE2" w:rsidRPr="00D33C05">
        <w:rPr>
          <w:rFonts w:ascii="Century Gothic" w:hAnsi="Century Gothic"/>
          <w:b/>
          <w:bCs/>
          <w:lang w:val="fr-FR"/>
        </w:rPr>
        <w:t>8.265 EUR HTVA</w:t>
      </w:r>
      <w:r w:rsidR="006B0BE2" w:rsidRPr="00097233">
        <w:rPr>
          <w:rFonts w:ascii="Century Gothic" w:hAnsi="Century Gothic"/>
          <w:lang w:val="fr-FR"/>
        </w:rPr>
        <w:t xml:space="preserve">, </w:t>
      </w:r>
      <w:r w:rsidRPr="00097233">
        <w:rPr>
          <w:rFonts w:ascii="Century Gothic" w:hAnsi="Century Gothic"/>
          <w:lang w:val="fr-FR"/>
        </w:rPr>
        <w:t>et seront facturées à la SLRB, comme le prévoit la Circulaire de la SLRB n° 659.</w:t>
      </w:r>
      <w:r w:rsidR="00F94A5A" w:rsidRPr="00097233">
        <w:rPr>
          <w:rFonts w:ascii="Century Gothic" w:hAnsi="Century Gothic"/>
          <w:lang w:val="fr-FR"/>
        </w:rPr>
        <w:t xml:space="preserve"> </w:t>
      </w:r>
      <w:r w:rsidR="00DB77A0" w:rsidRPr="00097233">
        <w:rPr>
          <w:rFonts w:ascii="Century Gothic" w:hAnsi="Century Gothic"/>
          <w:lang w:val="fr-FR"/>
        </w:rPr>
        <w:t xml:space="preserve">Si </w:t>
      </w:r>
      <w:r w:rsidR="00F94A5A" w:rsidRPr="00097233">
        <w:rPr>
          <w:rFonts w:ascii="Century Gothic" w:hAnsi="Century Gothic"/>
          <w:lang w:val="fr-FR"/>
        </w:rPr>
        <w:t>nous constatons que les délais ne peuvent pas être respectés, la SLRB pourra décider d’une extension de la mission</w:t>
      </w:r>
      <w:r w:rsidR="00DB77A0" w:rsidRPr="00097233">
        <w:rPr>
          <w:rFonts w:ascii="Century Gothic" w:hAnsi="Century Gothic"/>
          <w:lang w:val="fr-FR"/>
        </w:rPr>
        <w:t xml:space="preserve"> en commun accord avec le Commissaire de la SISP</w:t>
      </w:r>
      <w:r w:rsidR="00F94A5A" w:rsidRPr="00097233">
        <w:rPr>
          <w:rFonts w:ascii="Century Gothic" w:hAnsi="Century Gothic"/>
          <w:lang w:val="fr-FR"/>
        </w:rPr>
        <w:t>.</w:t>
      </w:r>
    </w:p>
    <w:p w14:paraId="4642453B" w14:textId="77777777" w:rsidR="00423660" w:rsidRPr="00097233" w:rsidRDefault="00423660" w:rsidP="00423660">
      <w:pPr>
        <w:jc w:val="both"/>
        <w:rPr>
          <w:rFonts w:ascii="Century Gothic" w:hAnsi="Century Gothic"/>
          <w:lang w:val="fr-FR"/>
        </w:rPr>
      </w:pPr>
      <w:r w:rsidRPr="00097233">
        <w:rPr>
          <w:rFonts w:ascii="Century Gothic" w:hAnsi="Century Gothic"/>
          <w:lang w:val="fr-FR"/>
        </w:rPr>
        <w:t>Veuillez signer et nous retourner l’exemplaire ci-joint de cette lettre afin d’indiquer votre accord avec les conditions de la mission et les procédures spécifiques que nous avons convenus de mettre en œuvre.</w:t>
      </w:r>
    </w:p>
    <w:p w14:paraId="302C83EB" w14:textId="25DD518B" w:rsidR="00823C6D" w:rsidRPr="00823C6D" w:rsidRDefault="00823C6D" w:rsidP="00823C6D">
      <w:pPr>
        <w:autoSpaceDE w:val="0"/>
        <w:spacing w:after="200" w:line="276" w:lineRule="auto"/>
        <w:jc w:val="both"/>
        <w:rPr>
          <w:rFonts w:ascii="Century Gothic" w:eastAsia="Calibri" w:hAnsi="Century Gothic" w:cs="Arial"/>
          <w:lang w:val="fr-BE"/>
        </w:rPr>
      </w:pPr>
      <w:r w:rsidRPr="00823C6D">
        <w:rPr>
          <w:rFonts w:ascii="Century Gothic" w:eastAsia="Calibri" w:hAnsi="Century Gothic" w:cs="Arial"/>
          <w:lang w:val="fr-BE"/>
        </w:rPr>
        <w:t>La Directrice Générale-Adjointe,</w:t>
      </w:r>
      <w:r w:rsidRPr="00823C6D">
        <w:rPr>
          <w:rFonts w:ascii="Century Gothic" w:eastAsia="Calibri" w:hAnsi="Century Gothic" w:cs="Arial"/>
          <w:lang w:val="fr-BE"/>
        </w:rPr>
        <w:tab/>
      </w:r>
      <w:r>
        <w:rPr>
          <w:rFonts w:ascii="Century Gothic" w:eastAsia="Calibri" w:hAnsi="Century Gothic" w:cs="Arial"/>
          <w:lang w:val="fr-BE"/>
        </w:rPr>
        <w:tab/>
      </w:r>
      <w:r w:rsidRPr="00823C6D">
        <w:rPr>
          <w:rFonts w:ascii="Century Gothic" w:eastAsia="Calibri" w:hAnsi="Century Gothic" w:cs="Arial"/>
          <w:lang w:val="fr-BE"/>
        </w:rPr>
        <w:t>Le Directeur Général,</w:t>
      </w:r>
      <w:r>
        <w:rPr>
          <w:rFonts w:ascii="Century Gothic" w:eastAsia="Calibri" w:hAnsi="Century Gothic" w:cs="Arial"/>
          <w:lang w:val="fr-BE"/>
        </w:rPr>
        <w:tab/>
        <w:t xml:space="preserve">         Le Réviseur,</w:t>
      </w:r>
    </w:p>
    <w:p w14:paraId="36CD8F09" w14:textId="77777777" w:rsidR="00823C6D" w:rsidRPr="00823C6D" w:rsidRDefault="00823C6D" w:rsidP="00823C6D">
      <w:pPr>
        <w:spacing w:after="0" w:line="240" w:lineRule="auto"/>
        <w:jc w:val="both"/>
        <w:rPr>
          <w:rFonts w:ascii="Century Gothic" w:eastAsia="Calibri" w:hAnsi="Century Gothic" w:cs="Arial"/>
          <w:lang w:val="fr-BE"/>
        </w:rPr>
      </w:pPr>
    </w:p>
    <w:p w14:paraId="6BF47086" w14:textId="0A4EF8DA" w:rsidR="00823C6D" w:rsidRDefault="00823C6D" w:rsidP="00823C6D">
      <w:pPr>
        <w:spacing w:after="0" w:line="240" w:lineRule="auto"/>
        <w:jc w:val="both"/>
        <w:rPr>
          <w:rFonts w:ascii="Century Gothic" w:eastAsia="Calibri" w:hAnsi="Century Gothic" w:cs="Arial"/>
          <w:lang w:val="fr-BE"/>
        </w:rPr>
      </w:pPr>
    </w:p>
    <w:p w14:paraId="12AD76D3" w14:textId="77777777" w:rsidR="00964ADD" w:rsidRPr="00823C6D" w:rsidRDefault="00964ADD" w:rsidP="00823C6D">
      <w:pPr>
        <w:spacing w:after="0" w:line="240" w:lineRule="auto"/>
        <w:jc w:val="both"/>
        <w:rPr>
          <w:rFonts w:ascii="Century Gothic" w:eastAsia="Calibri" w:hAnsi="Century Gothic" w:cs="Arial"/>
          <w:lang w:val="fr-BE"/>
        </w:rPr>
      </w:pPr>
      <w:bookmarkStart w:id="0" w:name="_GoBack"/>
      <w:bookmarkEnd w:id="0"/>
    </w:p>
    <w:p w14:paraId="3E3C34D4" w14:textId="7694DA89" w:rsidR="00325DA1" w:rsidRDefault="00823C6D" w:rsidP="00823C6D">
      <w:pPr>
        <w:spacing w:after="0" w:line="240" w:lineRule="auto"/>
        <w:jc w:val="both"/>
        <w:rPr>
          <w:rFonts w:ascii="Century Gothic" w:eastAsia="Calibri" w:hAnsi="Century Gothic" w:cs="Arial"/>
          <w:lang w:val="fr-BE"/>
        </w:rPr>
      </w:pPr>
      <w:r w:rsidRPr="00823C6D">
        <w:rPr>
          <w:rFonts w:ascii="Century Gothic" w:eastAsia="Calibri" w:hAnsi="Century Gothic" w:cs="Arial"/>
          <w:lang w:val="fr-BE"/>
        </w:rPr>
        <w:t>D. ROBBEN</w:t>
      </w:r>
      <w:r w:rsidRPr="00823C6D">
        <w:rPr>
          <w:rFonts w:ascii="Century Gothic" w:eastAsia="Calibri" w:hAnsi="Century Gothic" w:cs="Arial"/>
          <w:lang w:val="fr-BE"/>
        </w:rPr>
        <w:tab/>
      </w:r>
      <w:r w:rsidRPr="00823C6D">
        <w:rPr>
          <w:rFonts w:ascii="Century Gothic" w:eastAsia="Calibri" w:hAnsi="Century Gothic" w:cs="Arial"/>
          <w:lang w:val="fr-BE"/>
        </w:rPr>
        <w:tab/>
      </w:r>
      <w:r w:rsidRPr="00823C6D">
        <w:rPr>
          <w:rFonts w:ascii="Century Gothic" w:eastAsia="Calibri" w:hAnsi="Century Gothic" w:cs="Arial"/>
          <w:lang w:val="fr-BE"/>
        </w:rPr>
        <w:tab/>
      </w:r>
      <w:r>
        <w:rPr>
          <w:rFonts w:ascii="Century Gothic" w:eastAsia="Calibri" w:hAnsi="Century Gothic" w:cs="Arial"/>
          <w:lang w:val="fr-BE"/>
        </w:rPr>
        <w:tab/>
      </w:r>
      <w:r>
        <w:rPr>
          <w:rFonts w:ascii="Century Gothic" w:eastAsia="Calibri" w:hAnsi="Century Gothic" w:cs="Arial"/>
          <w:lang w:val="fr-BE"/>
        </w:rPr>
        <w:tab/>
        <w:t xml:space="preserve"> </w:t>
      </w:r>
      <w:r w:rsidRPr="00823C6D">
        <w:rPr>
          <w:rFonts w:ascii="Century Gothic" w:eastAsia="Calibri" w:hAnsi="Century Gothic" w:cs="Arial"/>
          <w:lang w:val="fr-BE"/>
        </w:rPr>
        <w:t>Y. LEMMENS</w:t>
      </w:r>
      <w:r w:rsidR="002C1134">
        <w:rPr>
          <w:rFonts w:ascii="Century Gothic" w:eastAsia="Calibri" w:hAnsi="Century Gothic" w:cs="Arial"/>
          <w:lang w:val="fr-BE"/>
        </w:rPr>
        <w:tab/>
      </w:r>
      <w:r w:rsidR="002C1134">
        <w:rPr>
          <w:rFonts w:ascii="Century Gothic" w:eastAsia="Calibri" w:hAnsi="Century Gothic" w:cs="Arial"/>
          <w:lang w:val="fr-BE"/>
        </w:rPr>
        <w:tab/>
        <w:t xml:space="preserve">           (Nom du réviseur)</w:t>
      </w:r>
    </w:p>
    <w:p w14:paraId="2A50EFC1" w14:textId="77777777" w:rsidR="00887CE6" w:rsidRDefault="00887CE6" w:rsidP="00887CE6">
      <w:pPr>
        <w:jc w:val="both"/>
        <w:rPr>
          <w:rFonts w:ascii="Century Gothic" w:hAnsi="Century Gothic"/>
          <w:i/>
          <w:u w:val="single"/>
          <w:lang w:val="fr-BE"/>
        </w:rPr>
      </w:pPr>
    </w:p>
    <w:p w14:paraId="35459530" w14:textId="4A4092EA" w:rsidR="00887CE6" w:rsidRPr="00887CE6" w:rsidRDefault="00887CE6" w:rsidP="00887CE6">
      <w:pPr>
        <w:jc w:val="both"/>
        <w:rPr>
          <w:rFonts w:ascii="Century Gothic" w:hAnsi="Century Gothic"/>
          <w:i/>
          <w:lang w:val="fr-FR"/>
        </w:rPr>
      </w:pPr>
      <w:r w:rsidRPr="00887CE6">
        <w:rPr>
          <w:rFonts w:ascii="Century Gothic" w:hAnsi="Century Gothic"/>
          <w:i/>
          <w:u w:val="single"/>
          <w:lang w:val="fr-FR"/>
        </w:rPr>
        <w:t>Annexe</w:t>
      </w:r>
      <w:r w:rsidRPr="00887CE6">
        <w:rPr>
          <w:rFonts w:ascii="Century Gothic" w:hAnsi="Century Gothic"/>
          <w:i/>
          <w:lang w:val="fr-FR"/>
        </w:rPr>
        <w:t>: liste des procédures convenues</w:t>
      </w:r>
    </w:p>
    <w:p w14:paraId="4790BFAB" w14:textId="77777777" w:rsidR="00887CE6" w:rsidRDefault="00887CE6" w:rsidP="00823C6D">
      <w:pPr>
        <w:spacing w:after="0" w:line="240" w:lineRule="auto"/>
        <w:jc w:val="both"/>
        <w:rPr>
          <w:rFonts w:ascii="Century Gothic" w:eastAsia="Calibri" w:hAnsi="Century Gothic" w:cs="Arial"/>
          <w:lang w:val="fr-BE"/>
        </w:rPr>
      </w:pPr>
    </w:p>
    <w:p w14:paraId="40F85BBE" w14:textId="77777777" w:rsidR="00887CE6" w:rsidRPr="00823C6D" w:rsidRDefault="00887CE6" w:rsidP="00823C6D">
      <w:pPr>
        <w:spacing w:after="0" w:line="240" w:lineRule="auto"/>
        <w:jc w:val="both"/>
        <w:rPr>
          <w:rFonts w:ascii="Century Gothic" w:eastAsia="Calibri" w:hAnsi="Century Gothic" w:cs="Arial"/>
          <w:lang w:val="fr-BE"/>
        </w:rPr>
      </w:pPr>
    </w:p>
    <w:sectPr w:rsidR="00887CE6" w:rsidRPr="00823C6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36939" w14:textId="77777777" w:rsidR="00FC7FD3" w:rsidRDefault="00FC7FD3" w:rsidP="004717B8">
      <w:pPr>
        <w:spacing w:after="0" w:line="240" w:lineRule="auto"/>
      </w:pPr>
      <w:r>
        <w:separator/>
      </w:r>
    </w:p>
  </w:endnote>
  <w:endnote w:type="continuationSeparator" w:id="0">
    <w:p w14:paraId="254D3673" w14:textId="77777777" w:rsidR="00FC7FD3" w:rsidRDefault="00FC7FD3" w:rsidP="0047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9A4F" w14:textId="11654F03" w:rsidR="004717B8" w:rsidRDefault="004717B8" w:rsidP="004717B8">
    <w:pPr>
      <w:pStyle w:val="Footer"/>
      <w:tabs>
        <w:tab w:val="clear" w:pos="4536"/>
        <w:tab w:val="clear" w:pos="9072"/>
        <w:tab w:val="left" w:pos="6390"/>
      </w:tabs>
    </w:pPr>
    <w:r>
      <w:tab/>
    </w:r>
    <w:r>
      <w:rPr>
        <w:noProof/>
      </w:rPr>
      <w:drawing>
        <wp:inline distT="0" distB="0" distL="0" distR="0" wp14:anchorId="342395E8" wp14:editId="0D22C358">
          <wp:extent cx="1322705" cy="7251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7251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288CA" w14:textId="77777777" w:rsidR="00FC7FD3" w:rsidRDefault="00FC7FD3" w:rsidP="004717B8">
      <w:pPr>
        <w:spacing w:after="0" w:line="240" w:lineRule="auto"/>
      </w:pPr>
      <w:r>
        <w:separator/>
      </w:r>
    </w:p>
  </w:footnote>
  <w:footnote w:type="continuationSeparator" w:id="0">
    <w:p w14:paraId="3F42E3A5" w14:textId="77777777" w:rsidR="00FC7FD3" w:rsidRDefault="00FC7FD3" w:rsidP="00471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046E" w14:textId="2E4DB5C8" w:rsidR="004717B8" w:rsidRDefault="004717B8" w:rsidP="004717B8">
    <w:pPr>
      <w:pStyle w:val="Header"/>
      <w:tabs>
        <w:tab w:val="clear" w:pos="4536"/>
        <w:tab w:val="clear" w:pos="9072"/>
        <w:tab w:val="left" w:pos="6900"/>
      </w:tabs>
    </w:pPr>
    <w:r>
      <w:tab/>
    </w:r>
    <w:r>
      <w:rPr>
        <w:noProof/>
      </w:rPr>
      <w:drawing>
        <wp:inline distT="0" distB="0" distL="0" distR="0" wp14:anchorId="148628B5" wp14:editId="2B168144">
          <wp:extent cx="1323782" cy="7245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52" cy="73053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A1"/>
    <w:rsid w:val="00050D0B"/>
    <w:rsid w:val="00064711"/>
    <w:rsid w:val="00097233"/>
    <w:rsid w:val="000B1009"/>
    <w:rsid w:val="00213DA4"/>
    <w:rsid w:val="002C1134"/>
    <w:rsid w:val="00325DA1"/>
    <w:rsid w:val="003435EB"/>
    <w:rsid w:val="003943C4"/>
    <w:rsid w:val="003A5F00"/>
    <w:rsid w:val="003E7D9E"/>
    <w:rsid w:val="00417A31"/>
    <w:rsid w:val="00423660"/>
    <w:rsid w:val="004717B8"/>
    <w:rsid w:val="0053046B"/>
    <w:rsid w:val="0056367C"/>
    <w:rsid w:val="00612237"/>
    <w:rsid w:val="006B0BE2"/>
    <w:rsid w:val="006C3F2F"/>
    <w:rsid w:val="007322D7"/>
    <w:rsid w:val="007B353A"/>
    <w:rsid w:val="00823C6D"/>
    <w:rsid w:val="00887CE6"/>
    <w:rsid w:val="00964ADD"/>
    <w:rsid w:val="009A41C8"/>
    <w:rsid w:val="00A22CF0"/>
    <w:rsid w:val="00AB330C"/>
    <w:rsid w:val="00B12642"/>
    <w:rsid w:val="00B30543"/>
    <w:rsid w:val="00BB2759"/>
    <w:rsid w:val="00BD5C83"/>
    <w:rsid w:val="00BF4279"/>
    <w:rsid w:val="00C168ED"/>
    <w:rsid w:val="00D066AE"/>
    <w:rsid w:val="00D33C05"/>
    <w:rsid w:val="00DB77A0"/>
    <w:rsid w:val="00DC3619"/>
    <w:rsid w:val="00E422DD"/>
    <w:rsid w:val="00F11BE6"/>
    <w:rsid w:val="00F61357"/>
    <w:rsid w:val="00F84F2A"/>
    <w:rsid w:val="00F94A5A"/>
    <w:rsid w:val="00FC7F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1F301"/>
  <w15:chartTrackingRefBased/>
  <w15:docId w15:val="{7D78AACE-46EB-4820-B2C4-6A5F0C9E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E6"/>
    <w:rPr>
      <w:rFonts w:ascii="Segoe UI" w:hAnsi="Segoe UI" w:cs="Segoe UI"/>
      <w:sz w:val="18"/>
      <w:szCs w:val="18"/>
    </w:rPr>
  </w:style>
  <w:style w:type="character" w:styleId="CommentReference">
    <w:name w:val="annotation reference"/>
    <w:basedOn w:val="DefaultParagraphFont"/>
    <w:uiPriority w:val="99"/>
    <w:semiHidden/>
    <w:unhideWhenUsed/>
    <w:rsid w:val="00213DA4"/>
    <w:rPr>
      <w:sz w:val="16"/>
      <w:szCs w:val="16"/>
    </w:rPr>
  </w:style>
  <w:style w:type="paragraph" w:styleId="CommentText">
    <w:name w:val="annotation text"/>
    <w:basedOn w:val="Normal"/>
    <w:link w:val="CommentTextChar"/>
    <w:uiPriority w:val="99"/>
    <w:semiHidden/>
    <w:unhideWhenUsed/>
    <w:rsid w:val="00213DA4"/>
    <w:pPr>
      <w:spacing w:line="240" w:lineRule="auto"/>
    </w:pPr>
    <w:rPr>
      <w:sz w:val="20"/>
      <w:szCs w:val="20"/>
    </w:rPr>
  </w:style>
  <w:style w:type="character" w:customStyle="1" w:styleId="CommentTextChar">
    <w:name w:val="Comment Text Char"/>
    <w:basedOn w:val="DefaultParagraphFont"/>
    <w:link w:val="CommentText"/>
    <w:uiPriority w:val="99"/>
    <w:semiHidden/>
    <w:rsid w:val="00213DA4"/>
    <w:rPr>
      <w:sz w:val="20"/>
      <w:szCs w:val="20"/>
    </w:rPr>
  </w:style>
  <w:style w:type="paragraph" w:styleId="CommentSubject">
    <w:name w:val="annotation subject"/>
    <w:basedOn w:val="CommentText"/>
    <w:next w:val="CommentText"/>
    <w:link w:val="CommentSubjectChar"/>
    <w:uiPriority w:val="99"/>
    <w:semiHidden/>
    <w:unhideWhenUsed/>
    <w:rsid w:val="00213DA4"/>
    <w:rPr>
      <w:b/>
      <w:bCs/>
    </w:rPr>
  </w:style>
  <w:style w:type="character" w:customStyle="1" w:styleId="CommentSubjectChar">
    <w:name w:val="Comment Subject Char"/>
    <w:basedOn w:val="CommentTextChar"/>
    <w:link w:val="CommentSubject"/>
    <w:uiPriority w:val="99"/>
    <w:semiHidden/>
    <w:rsid w:val="00213DA4"/>
    <w:rPr>
      <w:b/>
      <w:bCs/>
      <w:sz w:val="20"/>
      <w:szCs w:val="20"/>
    </w:rPr>
  </w:style>
  <w:style w:type="character" w:customStyle="1" w:styleId="lrzxr">
    <w:name w:val="lrzxr"/>
    <w:basedOn w:val="DefaultParagraphFont"/>
    <w:rsid w:val="00050D0B"/>
  </w:style>
  <w:style w:type="character" w:customStyle="1" w:styleId="tlid-translation">
    <w:name w:val="tlid-translation"/>
    <w:basedOn w:val="DefaultParagraphFont"/>
    <w:rsid w:val="00050D0B"/>
  </w:style>
  <w:style w:type="paragraph" w:styleId="Header">
    <w:name w:val="header"/>
    <w:basedOn w:val="Normal"/>
    <w:link w:val="HeaderChar"/>
    <w:uiPriority w:val="99"/>
    <w:unhideWhenUsed/>
    <w:rsid w:val="004717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17B8"/>
  </w:style>
  <w:style w:type="paragraph" w:styleId="Footer">
    <w:name w:val="footer"/>
    <w:basedOn w:val="Normal"/>
    <w:link w:val="FooterChar"/>
    <w:uiPriority w:val="99"/>
    <w:unhideWhenUsed/>
    <w:rsid w:val="004717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4B6AA-4FAE-438B-A935-4C60EB3DDB99}"/>
</file>

<file path=customXml/itemProps2.xml><?xml version="1.0" encoding="utf-8"?>
<ds:datastoreItem xmlns:ds="http://schemas.openxmlformats.org/officeDocument/2006/customXml" ds:itemID="{2E9D0689-1500-4A54-AAE4-5DE7DC5C26A2}"/>
</file>

<file path=customXml/itemProps3.xml><?xml version="1.0" encoding="utf-8"?>
<ds:datastoreItem xmlns:ds="http://schemas.openxmlformats.org/officeDocument/2006/customXml" ds:itemID="{80A43B2E-CF7F-4EDF-A721-229454257A0D}"/>
</file>

<file path=customXml/itemProps4.xml><?xml version="1.0" encoding="utf-8"?>
<ds:datastoreItem xmlns:ds="http://schemas.openxmlformats.org/officeDocument/2006/customXml" ds:itemID="{B8D8336D-6B23-46BB-A6D1-A47B623D9FA5}"/>
</file>

<file path=docProps/app.xml><?xml version="1.0" encoding="utf-8"?>
<Properties xmlns="http://schemas.openxmlformats.org/officeDocument/2006/extended-properties" xmlns:vt="http://schemas.openxmlformats.org/officeDocument/2006/docPropsVTypes">
  <Template>Normal</Template>
  <TotalTime>26</TotalTime>
  <Pages>3</Pages>
  <Words>768</Words>
  <Characters>4380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Vanbeveren Inge</cp:lastModifiedBy>
  <cp:revision>8</cp:revision>
  <dcterms:created xsi:type="dcterms:W3CDTF">2019-06-25T13:58:00Z</dcterms:created>
  <dcterms:modified xsi:type="dcterms:W3CDTF">2019-06-28T12:55:00Z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