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7FBE" w14:textId="77777777" w:rsidR="0042368D" w:rsidRDefault="0042368D" w:rsidP="0042368D">
      <w:pPr>
        <w:widowControl w:val="0"/>
        <w:spacing w:after="200" w:line="276" w:lineRule="auto"/>
        <w:ind w:right="781"/>
        <w:jc w:val="both"/>
        <w:rPr>
          <w:b/>
          <w:bCs/>
          <w:sz w:val="28"/>
          <w:szCs w:val="28"/>
        </w:rPr>
      </w:pPr>
      <w:r>
        <w:rPr>
          <w:b/>
          <w:bCs/>
          <w:sz w:val="28"/>
          <w:szCs w:val="28"/>
        </w:rPr>
        <w:t>Preface</w:t>
      </w:r>
    </w:p>
    <w:p w14:paraId="43EEA345" w14:textId="77777777" w:rsidR="0042368D" w:rsidRPr="008A31F4" w:rsidRDefault="0042368D" w:rsidP="0042368D">
      <w:pPr>
        <w:jc w:val="both"/>
        <w:rPr>
          <w:sz w:val="22"/>
          <w:szCs w:val="22"/>
        </w:rPr>
      </w:pPr>
      <w:r w:rsidRPr="008A31F4">
        <w:rPr>
          <w:sz w:val="22"/>
          <w:szCs w:val="22"/>
        </w:rPr>
        <w:t>The purpose of this working program is to document possible audit/assurance procedures planned and performed in respect of the economical balance sheet to be prepared under Solvency II. It has been prepared based on the assumption that an audit opinion has been issued on the IFRS consolidated financial statements or on the BEGAAP statutory financial statements. As a consequence, we can rely on the audit work performed on the IFRS Consolidated financial statements or on the BEGAAP statutory financial statements in our capacity as statutory auditor of the Company</w:t>
      </w:r>
      <w:r>
        <w:rPr>
          <w:sz w:val="22"/>
          <w:szCs w:val="22"/>
        </w:rPr>
        <w:t xml:space="preserve"> in so far the Solvency II framework does not deviate from these principles (rely on means that no additional work is to be performed by the practitioner for items for which the Solvency II framework is consistent with IFRS/BEGAAP)</w:t>
      </w:r>
      <w:r w:rsidRPr="008A31F4">
        <w:rPr>
          <w:sz w:val="22"/>
          <w:szCs w:val="22"/>
        </w:rPr>
        <w:t xml:space="preserve">. Therefore, this audit program only covers the incremental procedures to be performed on the Solvency II economical balance sheet. </w:t>
      </w:r>
    </w:p>
    <w:p w14:paraId="34FA62A9" w14:textId="77777777" w:rsidR="0042368D" w:rsidRPr="008A31F4" w:rsidRDefault="0042368D" w:rsidP="0042368D">
      <w:pPr>
        <w:rPr>
          <w:sz w:val="22"/>
          <w:szCs w:val="22"/>
        </w:rPr>
      </w:pPr>
    </w:p>
    <w:p w14:paraId="04A7CA03" w14:textId="77777777" w:rsidR="0042368D" w:rsidRPr="008A31F4" w:rsidRDefault="0042368D" w:rsidP="0042368D">
      <w:pPr>
        <w:jc w:val="both"/>
        <w:rPr>
          <w:sz w:val="22"/>
          <w:szCs w:val="22"/>
        </w:rPr>
      </w:pPr>
      <w:r w:rsidRPr="008A31F4">
        <w:rPr>
          <w:sz w:val="22"/>
          <w:szCs w:val="22"/>
          <w:u w:val="single"/>
        </w:rPr>
        <w:t>IFRS consolidated financial statements</w:t>
      </w:r>
      <w:r w:rsidRPr="008A31F4">
        <w:rPr>
          <w:sz w:val="22"/>
          <w:szCs w:val="22"/>
        </w:rPr>
        <w:t xml:space="preserve">: </w:t>
      </w:r>
    </w:p>
    <w:p w14:paraId="33FD75AF" w14:textId="77777777" w:rsidR="0042368D" w:rsidRPr="008A31F4" w:rsidRDefault="0042368D" w:rsidP="0042368D">
      <w:pPr>
        <w:jc w:val="both"/>
        <w:rPr>
          <w:sz w:val="22"/>
          <w:szCs w:val="22"/>
          <w:u w:val="single"/>
        </w:rPr>
      </w:pPr>
    </w:p>
    <w:p w14:paraId="1D9894F1" w14:textId="64858DEA" w:rsidR="0042368D" w:rsidRPr="008A31F4" w:rsidRDefault="0042368D" w:rsidP="0042368D">
      <w:pPr>
        <w:jc w:val="both"/>
        <w:rPr>
          <w:sz w:val="22"/>
          <w:szCs w:val="22"/>
          <w:u w:val="single"/>
        </w:rPr>
      </w:pPr>
      <w:r w:rsidRPr="008A31F4">
        <w:rPr>
          <w:sz w:val="22"/>
          <w:szCs w:val="22"/>
        </w:rPr>
        <w:t>For the economical balance sheet, the primary objective for valuation is a</w:t>
      </w:r>
      <w:r>
        <w:rPr>
          <w:sz w:val="22"/>
          <w:szCs w:val="22"/>
        </w:rPr>
        <w:t xml:space="preserve">n economic valuation </w:t>
      </w:r>
      <w:r w:rsidRPr="008A31F4">
        <w:rPr>
          <w:sz w:val="22"/>
          <w:szCs w:val="22"/>
        </w:rPr>
        <w:t>for the assets and liabilities</w:t>
      </w:r>
      <w:r>
        <w:rPr>
          <w:sz w:val="22"/>
          <w:szCs w:val="22"/>
        </w:rPr>
        <w:t xml:space="preserve"> which should be market consistent</w:t>
      </w:r>
      <w:r w:rsidRPr="008A31F4">
        <w:rPr>
          <w:sz w:val="22"/>
          <w:szCs w:val="22"/>
        </w:rPr>
        <w:t>. In most cases IFRS is considered to provide valuation consistent with principles of Solvency II. For those assets and liabilities that IFRS does not foresee in an economic valuation as envisaged by Article 75 of Directive 2009/138/EC</w:t>
      </w:r>
      <w:r w:rsidR="00E173D1">
        <w:rPr>
          <w:sz w:val="22"/>
          <w:szCs w:val="22"/>
        </w:rPr>
        <w:t xml:space="preserve"> (“Solvency II Directive”)</w:t>
      </w:r>
      <w:r w:rsidRPr="008A31F4">
        <w:rPr>
          <w:sz w:val="22"/>
          <w:szCs w:val="22"/>
        </w:rPr>
        <w:t xml:space="preserve"> the technical specifications issued by EIOPA provides specific guidance ). We refer to the table in attachment 1 to this audit/assurance program that includes for all assets and liabilities other than technical provisions a comparison of the measurement criteria under IFRS with the measurement criteria to be applied under Solvency II. The audit work to be performed on the technical provisions is covered in separate audit/assurance programs (i.e. best estimate + risk margin). </w:t>
      </w:r>
    </w:p>
    <w:p w14:paraId="01969747" w14:textId="77777777" w:rsidR="0042368D" w:rsidRPr="008A31F4" w:rsidRDefault="0042368D" w:rsidP="0042368D">
      <w:pPr>
        <w:pStyle w:val="ListParagraph"/>
        <w:ind w:left="360"/>
        <w:rPr>
          <w:sz w:val="22"/>
          <w:szCs w:val="22"/>
          <w:u w:val="single"/>
        </w:rPr>
      </w:pPr>
    </w:p>
    <w:p w14:paraId="09363B57" w14:textId="77777777" w:rsidR="0042368D" w:rsidRPr="008A31F4" w:rsidRDefault="0042368D" w:rsidP="0042368D">
      <w:pPr>
        <w:jc w:val="both"/>
        <w:rPr>
          <w:sz w:val="22"/>
          <w:szCs w:val="22"/>
        </w:rPr>
      </w:pPr>
      <w:r w:rsidRPr="008A31F4">
        <w:rPr>
          <w:sz w:val="22"/>
          <w:szCs w:val="22"/>
          <w:u w:val="single"/>
        </w:rPr>
        <w:t>BEGAAP statutory financial statements</w:t>
      </w:r>
      <w:r w:rsidRPr="008A31F4">
        <w:rPr>
          <w:sz w:val="22"/>
          <w:szCs w:val="22"/>
        </w:rPr>
        <w:t xml:space="preserve">: </w:t>
      </w:r>
    </w:p>
    <w:p w14:paraId="008F2318" w14:textId="77777777" w:rsidR="0042368D" w:rsidRPr="008A31F4" w:rsidRDefault="0042368D" w:rsidP="0042368D">
      <w:pPr>
        <w:jc w:val="both"/>
        <w:rPr>
          <w:sz w:val="22"/>
          <w:szCs w:val="22"/>
        </w:rPr>
      </w:pPr>
    </w:p>
    <w:p w14:paraId="0E420E53" w14:textId="1CFA26E0" w:rsidR="0042368D" w:rsidRPr="008A31F4" w:rsidRDefault="0042368D" w:rsidP="0042368D">
      <w:pPr>
        <w:jc w:val="both"/>
        <w:rPr>
          <w:sz w:val="22"/>
          <w:szCs w:val="22"/>
        </w:rPr>
      </w:pPr>
      <w:r w:rsidRPr="008A31F4">
        <w:rPr>
          <w:sz w:val="22"/>
          <w:szCs w:val="22"/>
        </w:rPr>
        <w:t xml:space="preserve">The BEGAAP statutory financial statements are not prepared based upon a market consistent approach, but rather on a “historical” basis. However, the market-consistent valuation of the investments held by insurance undertakings is also covered during the audit of the periodic returns (covering assets, impairment review, unrealized gains used in the solvency margin) and the annual accounts (market values are disclosed, impairment review). As a consequence, a significant part of the work to be performed on the Solvency II economical balance sheet is also covered during the audit work performed on the annual accounts and periodic returns for insurance undertakings that are not required to prepare IFRS consolidated financial statements. </w:t>
      </w:r>
      <w:r>
        <w:rPr>
          <w:sz w:val="22"/>
          <w:szCs w:val="22"/>
        </w:rPr>
        <w:t xml:space="preserve">If for certain balance sheet items BEGAAP would be applied for the measurement of assets and liabilities, an explicit link is to be made in the current audit program to the work performed by the auditor in the context of his mandate as statutory auditor. </w:t>
      </w:r>
    </w:p>
    <w:p w14:paraId="55AA1DD6" w14:textId="77777777" w:rsidR="0042368D" w:rsidRDefault="0042368D" w:rsidP="0042368D">
      <w:pPr>
        <w:jc w:val="both"/>
        <w:rPr>
          <w:sz w:val="22"/>
          <w:szCs w:val="22"/>
        </w:rPr>
      </w:pPr>
    </w:p>
    <w:p w14:paraId="7A477507" w14:textId="77777777" w:rsidR="0042368D" w:rsidRDefault="0042368D" w:rsidP="0042368D">
      <w:pPr>
        <w:jc w:val="both"/>
        <w:rPr>
          <w:sz w:val="22"/>
          <w:szCs w:val="22"/>
        </w:rPr>
      </w:pPr>
      <w:r w:rsidRPr="008A31F4">
        <w:rPr>
          <w:sz w:val="22"/>
          <w:szCs w:val="22"/>
        </w:rPr>
        <w:t xml:space="preserve">This working program is composed of two parts. The first part deals with the reliance that can be placed on internal controls. For the various components of the reporting process, typical internal controls that can be expected to be in place have been listed. These lists are however not to be considered as exhaustive and should be tailored to each specific assignment. The auditor’s evaluation over internal controls covers both the evaluation </w:t>
      </w:r>
      <w:r w:rsidRPr="008A31F4">
        <w:rPr>
          <w:sz w:val="22"/>
          <w:szCs w:val="22"/>
        </w:rPr>
        <w:lastRenderedPageBreak/>
        <w:t>of the design and implementation of the internal control identified and the evaluation of the operating effectiveness of internal controls for which the design has been assessed as effective.</w:t>
      </w:r>
    </w:p>
    <w:p w14:paraId="22618907" w14:textId="77777777" w:rsidR="0042368D" w:rsidRPr="008A31F4" w:rsidRDefault="0042368D" w:rsidP="0042368D">
      <w:pPr>
        <w:jc w:val="both"/>
        <w:rPr>
          <w:sz w:val="22"/>
          <w:szCs w:val="22"/>
        </w:rPr>
      </w:pPr>
    </w:p>
    <w:p w14:paraId="12D29236" w14:textId="77777777" w:rsidR="0042368D" w:rsidRPr="008A31F4" w:rsidRDefault="0042368D" w:rsidP="0042368D">
      <w:pPr>
        <w:jc w:val="both"/>
        <w:rPr>
          <w:sz w:val="22"/>
          <w:szCs w:val="22"/>
        </w:rPr>
      </w:pPr>
      <w:r w:rsidRPr="008A31F4">
        <w:rPr>
          <w:sz w:val="22"/>
          <w:szCs w:val="22"/>
        </w:rPr>
        <w:t>Evaluating the design of a control involves considering whether the control, individually or in combination with other controls, is capable of effectively preventing, or detecting and correcting, material misstatements. Implementation of a control means that the control exists and that the entity is using it.  Procedures to obtain audit evidence about the design and implementation of relevant controls may include inquiring of entity personnel, observing the application of specific controls, inspecting documents and reports and tracing transactions through the relevant information system (walk through). Inquiry alone, however, is not sufficient to evaluate the design and implementation of relevant controls. When evaluating the design and implementation of a control, the auditor considers the objective of the control (which also addresses the risk, including fraud risk, it helps to mitigate), how it is performed and documented, including the nature and size of the potential misstatements addressed and end-user computing considerations, the nature of the control, whether the control addresses a fraud risk, how frequently it is applied, the knowledge, experience and skills of the person performing it (if a manual control or a manual control with an automated component), the related IT application, if any, size and complexity of the entity, the auditor’s existing knowledge of the entity's internal controls and the nature and extent of changes in the systems and operations.</w:t>
      </w:r>
    </w:p>
    <w:p w14:paraId="333FCBBA" w14:textId="77777777" w:rsidR="0042368D" w:rsidRPr="008A31F4" w:rsidRDefault="0042368D" w:rsidP="0042368D">
      <w:pPr>
        <w:rPr>
          <w:sz w:val="22"/>
          <w:szCs w:val="22"/>
        </w:rPr>
      </w:pPr>
    </w:p>
    <w:p w14:paraId="31777B8F" w14:textId="1FFDBADF" w:rsidR="0042368D" w:rsidRPr="008A31F4" w:rsidRDefault="0042368D" w:rsidP="0042368D">
      <w:pPr>
        <w:jc w:val="both"/>
        <w:rPr>
          <w:sz w:val="22"/>
          <w:szCs w:val="22"/>
        </w:rPr>
      </w:pPr>
      <w:r w:rsidRPr="008A31F4">
        <w:rPr>
          <w:sz w:val="22"/>
          <w:szCs w:val="22"/>
        </w:rPr>
        <w:t>Testing the operating effectiveness of controls is performed only on those controls for which the auditor believes that those are suitably designed to prevent, or detect and correct, a material misstatement in an assertion. The following audit procedures may be used, often in combination, to obtain audit evidence about the operating effectiveness of controls: inquiry, observation, inspection, re</w:t>
      </w:r>
      <w:r w:rsidR="00814AA5">
        <w:rPr>
          <w:sz w:val="22"/>
          <w:szCs w:val="22"/>
        </w:rPr>
        <w:t>-</w:t>
      </w:r>
      <w:r w:rsidRPr="008A31F4">
        <w:rPr>
          <w:sz w:val="22"/>
          <w:szCs w:val="22"/>
        </w:rPr>
        <w:t>performance and recalculation. Inquiry alone is not sufficient to test the operating effectiveness of controls. Accordingly, other audit procedures are performed in combination with inquiry.</w:t>
      </w:r>
    </w:p>
    <w:p w14:paraId="4FCBE062" w14:textId="77777777" w:rsidR="0042368D" w:rsidRPr="008A31F4" w:rsidRDefault="0042368D" w:rsidP="0042368D">
      <w:pPr>
        <w:jc w:val="both"/>
        <w:rPr>
          <w:sz w:val="22"/>
          <w:szCs w:val="22"/>
        </w:rPr>
      </w:pPr>
    </w:p>
    <w:p w14:paraId="5B6BFBB9" w14:textId="226D1CA7" w:rsidR="0042368D" w:rsidRPr="008A31F4" w:rsidRDefault="0042368D" w:rsidP="0042368D">
      <w:pPr>
        <w:jc w:val="both"/>
        <w:rPr>
          <w:sz w:val="22"/>
          <w:szCs w:val="22"/>
        </w:rPr>
      </w:pPr>
      <w:r w:rsidRPr="008A31F4">
        <w:rPr>
          <w:sz w:val="22"/>
          <w:szCs w:val="22"/>
        </w:rPr>
        <w:t xml:space="preserve">The second part deals with the additional substantive procedures to be performed. The determination of the extent of substantive procedures is dependent on the operating effectiveness of internal controls. This part of the program is based on the assumption that full reliance can be placed on internal controls identified in the first part of this working program (given the fact that both the Solvency II framework and </w:t>
      </w:r>
      <w:r w:rsidR="00E173D1">
        <w:rPr>
          <w:sz w:val="22"/>
          <w:szCs w:val="22"/>
        </w:rPr>
        <w:t xml:space="preserve">article 42 of </w:t>
      </w:r>
      <w:r w:rsidR="00475ABF">
        <w:rPr>
          <w:sz w:val="22"/>
          <w:szCs w:val="22"/>
        </w:rPr>
        <w:t xml:space="preserve">the </w:t>
      </w:r>
      <w:r w:rsidRPr="008A31F4">
        <w:rPr>
          <w:sz w:val="22"/>
          <w:szCs w:val="22"/>
        </w:rPr>
        <w:t xml:space="preserve">Law of </w:t>
      </w:r>
      <w:r w:rsidR="00DC2A94">
        <w:rPr>
          <w:sz w:val="22"/>
          <w:szCs w:val="22"/>
        </w:rPr>
        <w:t xml:space="preserve">March 13, 2016 </w:t>
      </w:r>
      <w:r w:rsidRPr="008A31F4">
        <w:rPr>
          <w:sz w:val="22"/>
          <w:szCs w:val="22"/>
        </w:rPr>
        <w:t>require that the insurance undertaking must have a system of internal control adapted to the nature, size and complexity of the business</w:t>
      </w:r>
      <w:r w:rsidR="00DC2A94">
        <w:rPr>
          <w:sz w:val="22"/>
          <w:szCs w:val="22"/>
        </w:rPr>
        <w:t xml:space="preserve"> and risks related to their activity</w:t>
      </w:r>
      <w:r w:rsidRPr="008A31F4">
        <w:rPr>
          <w:sz w:val="22"/>
          <w:szCs w:val="22"/>
        </w:rPr>
        <w:t xml:space="preserve">). </w:t>
      </w:r>
      <w:r>
        <w:rPr>
          <w:sz w:val="22"/>
          <w:szCs w:val="22"/>
        </w:rPr>
        <w:t xml:space="preserve">Full reliance means that sufficient controls have been put in place by management to address the risks inherent in the process and the practitioner has evaluated that these controls are working effectively. </w:t>
      </w:r>
      <w:r w:rsidRPr="008A31F4">
        <w:rPr>
          <w:sz w:val="22"/>
          <w:szCs w:val="22"/>
        </w:rPr>
        <w:t>In case that certain internal controls would be missing or that certain internal controls are not operating effectively, these substantive procedures require further completion, by designing and performing procedures (based on the controls identified in the first part of this document) substantively. This part also requires further customization to the specific characteristics of the insurance company. In attachment 2, a non-exhaustive list of substantive procedures has been attached to this working program that the auditor can use for the selection of additional substantive procedures in case for certain internal controls the design and/or operating effectiveness would be evaluated as “non-effective”.</w:t>
      </w:r>
    </w:p>
    <w:p w14:paraId="58A4C62A" w14:textId="77777777" w:rsidR="0042368D" w:rsidRPr="008A31F4" w:rsidRDefault="0042368D" w:rsidP="0042368D">
      <w:pPr>
        <w:rPr>
          <w:sz w:val="22"/>
          <w:szCs w:val="22"/>
          <w:u w:val="single"/>
        </w:rPr>
      </w:pPr>
    </w:p>
    <w:p w14:paraId="445330EB" w14:textId="77777777" w:rsidR="0042368D" w:rsidRDefault="0042368D" w:rsidP="0042368D">
      <w:pPr>
        <w:rPr>
          <w:b/>
          <w:bCs/>
          <w:sz w:val="28"/>
          <w:szCs w:val="28"/>
        </w:rPr>
      </w:pPr>
    </w:p>
    <w:p w14:paraId="46888448" w14:textId="77777777" w:rsidR="0042368D" w:rsidRDefault="0042368D" w:rsidP="0042368D">
      <w:pPr>
        <w:rPr>
          <w:b/>
          <w:bCs/>
          <w:sz w:val="28"/>
          <w:szCs w:val="28"/>
        </w:rPr>
      </w:pPr>
    </w:p>
    <w:p w14:paraId="7E47A0FC" w14:textId="77777777" w:rsidR="0042368D" w:rsidRDefault="0042368D" w:rsidP="0042368D">
      <w:pPr>
        <w:rPr>
          <w:b/>
          <w:bCs/>
          <w:sz w:val="28"/>
          <w:szCs w:val="28"/>
        </w:rPr>
      </w:pPr>
    </w:p>
    <w:p w14:paraId="1CF7D3CB" w14:textId="77777777" w:rsidR="0042368D" w:rsidRPr="0035351F" w:rsidRDefault="0042368D" w:rsidP="0042368D">
      <w:pPr>
        <w:rPr>
          <w:b/>
          <w:sz w:val="15"/>
          <w:szCs w:val="15"/>
        </w:rPr>
      </w:pPr>
      <w:r>
        <w:rPr>
          <w:b/>
          <w:bCs/>
          <w:sz w:val="28"/>
          <w:szCs w:val="28"/>
        </w:rPr>
        <w:t>PART I</w:t>
      </w:r>
      <w:r w:rsidRPr="0035351F">
        <w:rPr>
          <w:b/>
          <w:bCs/>
          <w:sz w:val="28"/>
          <w:szCs w:val="28"/>
        </w:rPr>
        <w:t xml:space="preserve"> </w:t>
      </w:r>
      <w:r>
        <w:rPr>
          <w:b/>
          <w:bCs/>
          <w:sz w:val="28"/>
          <w:szCs w:val="28"/>
        </w:rPr>
        <w:t>–</w:t>
      </w:r>
      <w:r w:rsidRPr="0035351F">
        <w:rPr>
          <w:b/>
          <w:bCs/>
          <w:sz w:val="28"/>
          <w:szCs w:val="28"/>
        </w:rPr>
        <w:t xml:space="preserve"> </w:t>
      </w:r>
      <w:r>
        <w:rPr>
          <w:b/>
          <w:bCs/>
          <w:sz w:val="28"/>
          <w:szCs w:val="28"/>
        </w:rPr>
        <w:t>INTERNAL CONTROLS TESTING</w:t>
      </w:r>
    </w:p>
    <w:p w14:paraId="6A84CA1E" w14:textId="77777777" w:rsidR="0042368D" w:rsidRPr="009970FA" w:rsidRDefault="0042368D" w:rsidP="0042368D">
      <w:pPr>
        <w:pStyle w:val="ListParagraph"/>
        <w:widowControl w:val="0"/>
        <w:spacing w:after="200" w:line="276" w:lineRule="auto"/>
        <w:ind w:left="1060"/>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1253"/>
        <w:gridCol w:w="540"/>
        <w:gridCol w:w="1260"/>
        <w:gridCol w:w="331"/>
        <w:gridCol w:w="329"/>
        <w:gridCol w:w="331"/>
        <w:gridCol w:w="329"/>
        <w:gridCol w:w="331"/>
        <w:gridCol w:w="329"/>
        <w:gridCol w:w="1260"/>
        <w:gridCol w:w="900"/>
        <w:gridCol w:w="3338"/>
        <w:gridCol w:w="1213"/>
        <w:gridCol w:w="1063"/>
        <w:gridCol w:w="780"/>
      </w:tblGrid>
      <w:tr w:rsidR="0042368D" w14:paraId="7C98535E" w14:textId="77777777" w:rsidTr="00F97390">
        <w:trPr>
          <w:trHeight w:hRule="exact" w:val="910"/>
          <w:tblHeader/>
        </w:trPr>
        <w:tc>
          <w:tcPr>
            <w:tcW w:w="1253" w:type="dxa"/>
            <w:vMerge w:val="restart"/>
            <w:tcBorders>
              <w:top w:val="single" w:sz="4" w:space="0" w:color="000000"/>
              <w:left w:val="single" w:sz="4" w:space="0" w:color="000000"/>
              <w:right w:val="single" w:sz="4" w:space="0" w:color="000000"/>
            </w:tcBorders>
          </w:tcPr>
          <w:p w14:paraId="034AC3A8" w14:textId="77777777" w:rsidR="0042368D" w:rsidRDefault="0042368D" w:rsidP="00F97390">
            <w:pPr>
              <w:spacing w:line="200" w:lineRule="exact"/>
              <w:rPr>
                <w:sz w:val="20"/>
                <w:szCs w:val="20"/>
              </w:rPr>
            </w:pPr>
          </w:p>
          <w:p w14:paraId="6640C6F1" w14:textId="77777777" w:rsidR="0042368D" w:rsidRDefault="0042368D" w:rsidP="00F97390">
            <w:pPr>
              <w:spacing w:line="200" w:lineRule="exact"/>
              <w:rPr>
                <w:sz w:val="20"/>
                <w:szCs w:val="20"/>
              </w:rPr>
            </w:pPr>
          </w:p>
          <w:p w14:paraId="5E1CED42" w14:textId="77777777" w:rsidR="0042368D" w:rsidRDefault="0042368D" w:rsidP="00F97390">
            <w:pPr>
              <w:spacing w:line="200" w:lineRule="exact"/>
              <w:rPr>
                <w:sz w:val="20"/>
                <w:szCs w:val="20"/>
              </w:rPr>
            </w:pPr>
          </w:p>
          <w:p w14:paraId="16C6E86D" w14:textId="77777777" w:rsidR="0042368D" w:rsidRDefault="0042368D" w:rsidP="00F97390">
            <w:pPr>
              <w:spacing w:line="200" w:lineRule="exact"/>
              <w:rPr>
                <w:sz w:val="20"/>
                <w:szCs w:val="20"/>
              </w:rPr>
            </w:pPr>
          </w:p>
          <w:p w14:paraId="67CF6334" w14:textId="77777777" w:rsidR="0042368D" w:rsidRDefault="0042368D" w:rsidP="00F97390">
            <w:pPr>
              <w:spacing w:line="200" w:lineRule="exact"/>
              <w:rPr>
                <w:sz w:val="20"/>
                <w:szCs w:val="20"/>
              </w:rPr>
            </w:pPr>
          </w:p>
          <w:p w14:paraId="1A1DB848" w14:textId="77777777" w:rsidR="0042368D" w:rsidRDefault="0042368D" w:rsidP="00F97390">
            <w:pPr>
              <w:spacing w:line="200" w:lineRule="exact"/>
              <w:rPr>
                <w:sz w:val="20"/>
                <w:szCs w:val="20"/>
              </w:rPr>
            </w:pPr>
          </w:p>
          <w:p w14:paraId="01335556" w14:textId="77777777" w:rsidR="0042368D" w:rsidRDefault="0042368D" w:rsidP="00F97390">
            <w:pPr>
              <w:spacing w:line="200" w:lineRule="exact"/>
              <w:rPr>
                <w:sz w:val="20"/>
                <w:szCs w:val="20"/>
              </w:rPr>
            </w:pPr>
          </w:p>
          <w:p w14:paraId="295D7A0B" w14:textId="77777777" w:rsidR="0042368D" w:rsidRDefault="0042368D" w:rsidP="00F97390">
            <w:pPr>
              <w:spacing w:line="200" w:lineRule="exact"/>
              <w:rPr>
                <w:sz w:val="20"/>
                <w:szCs w:val="20"/>
              </w:rPr>
            </w:pPr>
          </w:p>
          <w:p w14:paraId="021FBB83" w14:textId="77777777" w:rsidR="0042368D" w:rsidRDefault="0042368D" w:rsidP="00F97390">
            <w:pPr>
              <w:spacing w:before="1" w:line="200" w:lineRule="exact"/>
              <w:rPr>
                <w:sz w:val="20"/>
                <w:szCs w:val="20"/>
              </w:rPr>
            </w:pPr>
          </w:p>
          <w:p w14:paraId="16694275" w14:textId="77777777" w:rsidR="0042368D" w:rsidRDefault="0042368D" w:rsidP="00F97390">
            <w:pPr>
              <w:spacing w:line="303" w:lineRule="auto"/>
              <w:ind w:left="265" w:right="216" w:firstLine="55"/>
              <w:rPr>
                <w:sz w:val="18"/>
                <w:szCs w:val="18"/>
              </w:rPr>
            </w:pPr>
            <w:r>
              <w:rPr>
                <w:b/>
                <w:bCs/>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 xml:space="preserve">rol </w:t>
            </w:r>
            <w:r>
              <w:rPr>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5F2744A1" w14:textId="77777777" w:rsidR="0042368D" w:rsidRDefault="0042368D" w:rsidP="00F97390">
            <w:pPr>
              <w:spacing w:before="10" w:line="200" w:lineRule="exact"/>
              <w:rPr>
                <w:sz w:val="20"/>
                <w:szCs w:val="20"/>
              </w:rPr>
            </w:pPr>
          </w:p>
          <w:p w14:paraId="0080BD94" w14:textId="77777777" w:rsidR="0042368D" w:rsidRDefault="0042368D" w:rsidP="00F97390">
            <w:pPr>
              <w:ind w:left="383" w:right="-20"/>
              <w:rPr>
                <w:sz w:val="18"/>
                <w:szCs w:val="18"/>
              </w:rPr>
            </w:pPr>
            <w:r>
              <w:rPr>
                <w:b/>
                <w:bCs/>
                <w:sz w:val="18"/>
                <w:szCs w:val="18"/>
              </w:rPr>
              <w:t>A</w:t>
            </w:r>
            <w:r>
              <w:rPr>
                <w:b/>
                <w:bCs/>
                <w:spacing w:val="1"/>
                <w:sz w:val="18"/>
                <w:szCs w:val="18"/>
              </w:rPr>
              <w:t>n</w:t>
            </w:r>
            <w:r>
              <w:rPr>
                <w:b/>
                <w:bCs/>
                <w:sz w:val="18"/>
                <w:szCs w:val="18"/>
              </w:rPr>
              <w:t>ti</w:t>
            </w:r>
            <w:r>
              <w:rPr>
                <w:b/>
                <w:bCs/>
                <w:spacing w:val="1"/>
                <w:sz w:val="18"/>
                <w:szCs w:val="18"/>
              </w:rPr>
              <w:t xml:space="preserve"> </w:t>
            </w:r>
            <w:r>
              <w:rPr>
                <w:b/>
                <w:bCs/>
                <w:sz w:val="18"/>
                <w:szCs w:val="18"/>
              </w:rPr>
              <w:t xml:space="preserve">- </w:t>
            </w:r>
            <w:r>
              <w:rPr>
                <w:b/>
                <w:bCs/>
                <w:spacing w:val="1"/>
                <w:sz w:val="18"/>
                <w:szCs w:val="18"/>
              </w:rPr>
              <w:t xml:space="preserve"> </w:t>
            </w:r>
            <w:r>
              <w:rPr>
                <w:b/>
                <w:bCs/>
                <w:sz w:val="18"/>
                <w:szCs w:val="18"/>
              </w:rPr>
              <w:t>f</w:t>
            </w:r>
            <w:r>
              <w:rPr>
                <w:b/>
                <w:bCs/>
                <w:spacing w:val="-1"/>
                <w:sz w:val="18"/>
                <w:szCs w:val="18"/>
              </w:rPr>
              <w:t>ra</w:t>
            </w:r>
            <w:r>
              <w:rPr>
                <w:b/>
                <w:bCs/>
                <w:spacing w:val="1"/>
                <w:sz w:val="18"/>
                <w:szCs w:val="18"/>
              </w:rPr>
              <w:t>u</w:t>
            </w:r>
            <w:r>
              <w:rPr>
                <w:b/>
                <w:bCs/>
                <w:sz w:val="18"/>
                <w:szCs w:val="18"/>
              </w:rPr>
              <w:t>d</w:t>
            </w:r>
            <w:r>
              <w:rPr>
                <w:b/>
                <w:bCs/>
                <w:spacing w:val="1"/>
                <w:sz w:val="18"/>
                <w:szCs w:val="18"/>
              </w:rPr>
              <w:t xml:space="preserve"> </w:t>
            </w:r>
            <w:r>
              <w:rPr>
                <w:b/>
                <w:bCs/>
                <w:spacing w:val="-1"/>
                <w:sz w:val="18"/>
                <w:szCs w:val="18"/>
              </w:rPr>
              <w:t>co</w:t>
            </w:r>
            <w:r>
              <w:rPr>
                <w:b/>
                <w:bCs/>
                <w:spacing w:val="1"/>
                <w:sz w:val="18"/>
                <w:szCs w:val="18"/>
              </w:rPr>
              <w:t>n</w:t>
            </w:r>
            <w:r>
              <w:rPr>
                <w:b/>
                <w:bCs/>
                <w:sz w:val="18"/>
                <w:szCs w:val="18"/>
              </w:rPr>
              <w:t>t</w:t>
            </w:r>
            <w:r>
              <w:rPr>
                <w:b/>
                <w:bCs/>
                <w:spacing w:val="-1"/>
                <w:sz w:val="18"/>
                <w:szCs w:val="18"/>
              </w:rPr>
              <w:t>r</w:t>
            </w:r>
            <w:r>
              <w:rPr>
                <w:b/>
                <w:bCs/>
                <w:spacing w:val="1"/>
                <w:sz w:val="18"/>
                <w:szCs w:val="18"/>
              </w:rPr>
              <w:t>o</w:t>
            </w:r>
            <w:r>
              <w:rPr>
                <w:b/>
                <w:bCs/>
                <w:sz w:val="18"/>
                <w:szCs w:val="18"/>
              </w:rPr>
              <w:t>l</w:t>
            </w:r>
          </w:p>
        </w:tc>
        <w:tc>
          <w:tcPr>
            <w:tcW w:w="1260" w:type="dxa"/>
            <w:vMerge w:val="restart"/>
            <w:tcBorders>
              <w:top w:val="single" w:sz="4" w:space="0" w:color="000000"/>
              <w:left w:val="single" w:sz="4" w:space="0" w:color="000000"/>
              <w:right w:val="single" w:sz="4" w:space="0" w:color="000000"/>
            </w:tcBorders>
          </w:tcPr>
          <w:p w14:paraId="65F593E8" w14:textId="77777777" w:rsidR="0042368D" w:rsidRDefault="0042368D" w:rsidP="00F97390">
            <w:pPr>
              <w:spacing w:before="2" w:line="140" w:lineRule="exact"/>
              <w:rPr>
                <w:sz w:val="14"/>
                <w:szCs w:val="14"/>
              </w:rPr>
            </w:pPr>
          </w:p>
          <w:p w14:paraId="19380D84" w14:textId="77777777" w:rsidR="0042368D" w:rsidRDefault="0042368D" w:rsidP="00F97390">
            <w:pPr>
              <w:spacing w:line="200" w:lineRule="exact"/>
              <w:rPr>
                <w:sz w:val="20"/>
                <w:szCs w:val="20"/>
              </w:rPr>
            </w:pPr>
          </w:p>
          <w:p w14:paraId="166B44EA" w14:textId="77777777" w:rsidR="0042368D" w:rsidRDefault="0042368D" w:rsidP="00F97390">
            <w:pPr>
              <w:spacing w:line="200" w:lineRule="exact"/>
              <w:rPr>
                <w:sz w:val="20"/>
                <w:szCs w:val="20"/>
              </w:rPr>
            </w:pPr>
          </w:p>
          <w:p w14:paraId="2C3F952F" w14:textId="77777777" w:rsidR="0042368D" w:rsidRDefault="0042368D" w:rsidP="00F97390">
            <w:pPr>
              <w:spacing w:line="200" w:lineRule="exact"/>
              <w:rPr>
                <w:sz w:val="20"/>
                <w:szCs w:val="20"/>
              </w:rPr>
            </w:pPr>
          </w:p>
          <w:p w14:paraId="1E4AED30" w14:textId="77777777" w:rsidR="0042368D" w:rsidRDefault="0042368D" w:rsidP="00F97390">
            <w:pPr>
              <w:spacing w:line="200" w:lineRule="exact"/>
              <w:rPr>
                <w:sz w:val="20"/>
                <w:szCs w:val="20"/>
              </w:rPr>
            </w:pPr>
          </w:p>
          <w:p w14:paraId="3B7A1E5C" w14:textId="77777777" w:rsidR="0042368D" w:rsidRDefault="0042368D" w:rsidP="00F97390">
            <w:pPr>
              <w:spacing w:line="200" w:lineRule="exact"/>
              <w:rPr>
                <w:sz w:val="20"/>
                <w:szCs w:val="20"/>
              </w:rPr>
            </w:pPr>
          </w:p>
          <w:p w14:paraId="56EB73AE" w14:textId="77777777" w:rsidR="0042368D" w:rsidRDefault="0042368D" w:rsidP="00F97390">
            <w:pPr>
              <w:spacing w:line="200" w:lineRule="exact"/>
              <w:rPr>
                <w:sz w:val="20"/>
                <w:szCs w:val="20"/>
              </w:rPr>
            </w:pPr>
          </w:p>
          <w:p w14:paraId="21C1C642" w14:textId="77777777" w:rsidR="0042368D" w:rsidRDefault="0042368D" w:rsidP="00F97390">
            <w:pPr>
              <w:spacing w:line="200" w:lineRule="exact"/>
              <w:rPr>
                <w:sz w:val="20"/>
                <w:szCs w:val="20"/>
              </w:rPr>
            </w:pPr>
          </w:p>
          <w:p w14:paraId="21DFA8F8" w14:textId="77777777" w:rsidR="0042368D" w:rsidRDefault="0042368D" w:rsidP="00F97390">
            <w:pPr>
              <w:spacing w:line="301" w:lineRule="auto"/>
              <w:ind w:left="195" w:right="175"/>
              <w:jc w:val="center"/>
              <w:rPr>
                <w:sz w:val="18"/>
                <w:szCs w:val="18"/>
              </w:rPr>
            </w:pPr>
            <w:r>
              <w:rPr>
                <w:b/>
                <w:bCs/>
                <w:spacing w:val="1"/>
                <w:sz w:val="18"/>
                <w:szCs w:val="18"/>
              </w:rPr>
              <w:t>S</w:t>
            </w:r>
            <w:r>
              <w:rPr>
                <w:b/>
                <w:bCs/>
                <w:sz w:val="18"/>
                <w:szCs w:val="18"/>
              </w:rPr>
              <w:t>i</w:t>
            </w:r>
            <w:r>
              <w:rPr>
                <w:b/>
                <w:bCs/>
                <w:spacing w:val="1"/>
                <w:sz w:val="18"/>
                <w:szCs w:val="18"/>
              </w:rPr>
              <w:t>g</w:t>
            </w:r>
            <w:r>
              <w:rPr>
                <w:b/>
                <w:bCs/>
                <w:spacing w:val="-2"/>
                <w:sz w:val="18"/>
                <w:szCs w:val="18"/>
              </w:rPr>
              <w:t>n</w:t>
            </w:r>
            <w:r>
              <w:rPr>
                <w:b/>
                <w:bCs/>
                <w:sz w:val="18"/>
                <w:szCs w:val="18"/>
              </w:rPr>
              <w:t>ifi</w:t>
            </w:r>
            <w:r>
              <w:rPr>
                <w:b/>
                <w:bCs/>
                <w:spacing w:val="-1"/>
                <w:sz w:val="18"/>
                <w:szCs w:val="18"/>
              </w:rPr>
              <w:t>ca</w:t>
            </w:r>
            <w:r>
              <w:rPr>
                <w:b/>
                <w:bCs/>
                <w:spacing w:val="-2"/>
                <w:sz w:val="18"/>
                <w:szCs w:val="18"/>
              </w:rPr>
              <w:t>n</w:t>
            </w:r>
            <w:r>
              <w:rPr>
                <w:b/>
                <w:bCs/>
                <w:sz w:val="18"/>
                <w:szCs w:val="18"/>
              </w:rPr>
              <w:t xml:space="preserve">t </w:t>
            </w:r>
            <w:r>
              <w:rPr>
                <w:b/>
                <w:bCs/>
                <w:spacing w:val="-1"/>
                <w:sz w:val="18"/>
                <w:szCs w:val="18"/>
              </w:rPr>
              <w:t>ac</w:t>
            </w:r>
            <w:r>
              <w:rPr>
                <w:b/>
                <w:bCs/>
                <w:spacing w:val="2"/>
                <w:sz w:val="18"/>
                <w:szCs w:val="18"/>
              </w:rPr>
              <w:t>c</w:t>
            </w:r>
            <w:r>
              <w:rPr>
                <w:b/>
                <w:bCs/>
                <w:spacing w:val="-1"/>
                <w:sz w:val="18"/>
                <w:szCs w:val="18"/>
              </w:rPr>
              <w:t>o</w:t>
            </w:r>
            <w:r>
              <w:rPr>
                <w:b/>
                <w:bCs/>
                <w:spacing w:val="1"/>
                <w:sz w:val="18"/>
                <w:szCs w:val="18"/>
              </w:rPr>
              <w:t>u</w:t>
            </w:r>
            <w:r>
              <w:rPr>
                <w:b/>
                <w:bCs/>
                <w:spacing w:val="-2"/>
                <w:sz w:val="18"/>
                <w:szCs w:val="18"/>
              </w:rPr>
              <w:t>n</w:t>
            </w:r>
            <w:r>
              <w:rPr>
                <w:b/>
                <w:bCs/>
                <w:sz w:val="18"/>
                <w:szCs w:val="18"/>
              </w:rPr>
              <w:t xml:space="preserve">t/ </w:t>
            </w:r>
            <w:r>
              <w:rPr>
                <w:b/>
                <w:bCs/>
                <w:spacing w:val="-2"/>
                <w:sz w:val="18"/>
                <w:szCs w:val="18"/>
              </w:rPr>
              <w:t>d</w:t>
            </w:r>
            <w:r>
              <w:rPr>
                <w:b/>
                <w:bCs/>
                <w:sz w:val="18"/>
                <w:szCs w:val="18"/>
              </w:rPr>
              <w:t>is</w:t>
            </w:r>
            <w:r>
              <w:rPr>
                <w:b/>
                <w:bCs/>
                <w:spacing w:val="-1"/>
                <w:sz w:val="18"/>
                <w:szCs w:val="18"/>
              </w:rPr>
              <w:t>c</w:t>
            </w:r>
            <w:r>
              <w:rPr>
                <w:b/>
                <w:bCs/>
                <w:sz w:val="18"/>
                <w:szCs w:val="18"/>
              </w:rPr>
              <w:t>l</w:t>
            </w:r>
            <w:r>
              <w:rPr>
                <w:b/>
                <w:bCs/>
                <w:spacing w:val="1"/>
                <w:sz w:val="18"/>
                <w:szCs w:val="18"/>
              </w:rPr>
              <w:t>o</w:t>
            </w:r>
            <w:r>
              <w:rPr>
                <w:b/>
                <w:bCs/>
                <w:sz w:val="18"/>
                <w:szCs w:val="18"/>
              </w:rPr>
              <w:t>s</w:t>
            </w:r>
            <w:r>
              <w:rPr>
                <w:b/>
                <w:bCs/>
                <w:spacing w:val="1"/>
                <w:sz w:val="18"/>
                <w:szCs w:val="18"/>
              </w:rPr>
              <w:t>u</w:t>
            </w:r>
            <w:r>
              <w:rPr>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1C620784" w14:textId="77777777" w:rsidR="0042368D" w:rsidRDefault="0042368D" w:rsidP="00F97390">
            <w:pPr>
              <w:spacing w:line="200" w:lineRule="exact"/>
              <w:rPr>
                <w:sz w:val="20"/>
                <w:szCs w:val="20"/>
              </w:rPr>
            </w:pPr>
          </w:p>
          <w:p w14:paraId="77C70920" w14:textId="77777777" w:rsidR="0042368D" w:rsidRDefault="0042368D" w:rsidP="00F97390">
            <w:pPr>
              <w:spacing w:line="200" w:lineRule="exact"/>
              <w:rPr>
                <w:sz w:val="20"/>
                <w:szCs w:val="20"/>
              </w:rPr>
            </w:pPr>
          </w:p>
          <w:p w14:paraId="29B5F6FB" w14:textId="77777777" w:rsidR="0042368D" w:rsidRDefault="0042368D" w:rsidP="00F97390">
            <w:pPr>
              <w:spacing w:line="200" w:lineRule="exact"/>
              <w:rPr>
                <w:sz w:val="20"/>
                <w:szCs w:val="20"/>
              </w:rPr>
            </w:pPr>
          </w:p>
          <w:p w14:paraId="44D0B374" w14:textId="77777777" w:rsidR="0042368D" w:rsidRDefault="0042368D" w:rsidP="00F97390">
            <w:pPr>
              <w:spacing w:line="200" w:lineRule="exact"/>
              <w:rPr>
                <w:sz w:val="20"/>
                <w:szCs w:val="20"/>
              </w:rPr>
            </w:pPr>
          </w:p>
          <w:p w14:paraId="158152CB" w14:textId="77777777" w:rsidR="0042368D" w:rsidRDefault="0042368D" w:rsidP="00F97390">
            <w:pPr>
              <w:spacing w:line="200" w:lineRule="exact"/>
              <w:rPr>
                <w:sz w:val="20"/>
                <w:szCs w:val="20"/>
              </w:rPr>
            </w:pPr>
          </w:p>
          <w:p w14:paraId="1D51ED92" w14:textId="77777777" w:rsidR="0042368D" w:rsidRDefault="0042368D" w:rsidP="00F97390">
            <w:pPr>
              <w:spacing w:line="200" w:lineRule="exact"/>
              <w:rPr>
                <w:sz w:val="20"/>
                <w:szCs w:val="20"/>
              </w:rPr>
            </w:pPr>
          </w:p>
          <w:p w14:paraId="6B13B9E0" w14:textId="77777777" w:rsidR="0042368D" w:rsidRDefault="0042368D" w:rsidP="00F97390">
            <w:pPr>
              <w:spacing w:line="200" w:lineRule="exact"/>
              <w:rPr>
                <w:sz w:val="20"/>
                <w:szCs w:val="20"/>
              </w:rPr>
            </w:pPr>
          </w:p>
          <w:p w14:paraId="6ECEBD49" w14:textId="77777777" w:rsidR="0042368D" w:rsidRDefault="0042368D" w:rsidP="00F97390">
            <w:pPr>
              <w:spacing w:line="200" w:lineRule="exact"/>
              <w:rPr>
                <w:sz w:val="20"/>
                <w:szCs w:val="20"/>
              </w:rPr>
            </w:pPr>
          </w:p>
          <w:p w14:paraId="0C407D8D" w14:textId="77777777" w:rsidR="0042368D" w:rsidRDefault="0042368D" w:rsidP="00F97390">
            <w:pPr>
              <w:spacing w:line="200" w:lineRule="exact"/>
              <w:rPr>
                <w:sz w:val="20"/>
                <w:szCs w:val="20"/>
              </w:rPr>
            </w:pPr>
          </w:p>
          <w:p w14:paraId="211D5095" w14:textId="77777777" w:rsidR="0042368D" w:rsidRDefault="0042368D" w:rsidP="00F97390">
            <w:pPr>
              <w:spacing w:before="3" w:line="260" w:lineRule="exact"/>
              <w:rPr>
                <w:sz w:val="26"/>
                <w:szCs w:val="26"/>
              </w:rPr>
            </w:pPr>
          </w:p>
          <w:p w14:paraId="7CA92D1B" w14:textId="77777777" w:rsidR="0042368D" w:rsidRDefault="0042368D" w:rsidP="00F97390">
            <w:pPr>
              <w:ind w:left="102" w:right="-20"/>
              <w:rPr>
                <w:sz w:val="18"/>
                <w:szCs w:val="18"/>
              </w:rPr>
            </w:pPr>
            <w:r>
              <w:rPr>
                <w:b/>
                <w:bCs/>
                <w:sz w:val="18"/>
                <w:szCs w:val="18"/>
              </w:rPr>
              <w:t>C</w:t>
            </w:r>
          </w:p>
        </w:tc>
        <w:tc>
          <w:tcPr>
            <w:tcW w:w="329" w:type="dxa"/>
            <w:vMerge w:val="restart"/>
            <w:tcBorders>
              <w:top w:val="single" w:sz="4" w:space="0" w:color="000000"/>
              <w:left w:val="single" w:sz="4" w:space="0" w:color="000000"/>
              <w:right w:val="single" w:sz="4" w:space="0" w:color="000000"/>
            </w:tcBorders>
          </w:tcPr>
          <w:p w14:paraId="013461DE" w14:textId="77777777" w:rsidR="0042368D" w:rsidRDefault="0042368D" w:rsidP="00F97390">
            <w:pPr>
              <w:spacing w:line="200" w:lineRule="exact"/>
              <w:rPr>
                <w:sz w:val="20"/>
                <w:szCs w:val="20"/>
              </w:rPr>
            </w:pPr>
          </w:p>
          <w:p w14:paraId="519B3B44" w14:textId="77777777" w:rsidR="0042368D" w:rsidRDefault="0042368D" w:rsidP="00F97390">
            <w:pPr>
              <w:spacing w:line="200" w:lineRule="exact"/>
              <w:rPr>
                <w:sz w:val="20"/>
                <w:szCs w:val="20"/>
              </w:rPr>
            </w:pPr>
          </w:p>
          <w:p w14:paraId="4B3D93B1" w14:textId="77777777" w:rsidR="0042368D" w:rsidRDefault="0042368D" w:rsidP="00F97390">
            <w:pPr>
              <w:spacing w:line="200" w:lineRule="exact"/>
              <w:rPr>
                <w:sz w:val="20"/>
                <w:szCs w:val="20"/>
              </w:rPr>
            </w:pPr>
          </w:p>
          <w:p w14:paraId="1457D980" w14:textId="77777777" w:rsidR="0042368D" w:rsidRDefault="0042368D" w:rsidP="00F97390">
            <w:pPr>
              <w:spacing w:line="200" w:lineRule="exact"/>
              <w:rPr>
                <w:sz w:val="20"/>
                <w:szCs w:val="20"/>
              </w:rPr>
            </w:pPr>
          </w:p>
          <w:p w14:paraId="093FC212" w14:textId="77777777" w:rsidR="0042368D" w:rsidRDefault="0042368D" w:rsidP="00F97390">
            <w:pPr>
              <w:spacing w:line="200" w:lineRule="exact"/>
              <w:rPr>
                <w:sz w:val="20"/>
                <w:szCs w:val="20"/>
              </w:rPr>
            </w:pPr>
          </w:p>
          <w:p w14:paraId="6E04D359" w14:textId="77777777" w:rsidR="0042368D" w:rsidRDefault="0042368D" w:rsidP="00F97390">
            <w:pPr>
              <w:spacing w:line="200" w:lineRule="exact"/>
              <w:rPr>
                <w:sz w:val="20"/>
                <w:szCs w:val="20"/>
              </w:rPr>
            </w:pPr>
          </w:p>
          <w:p w14:paraId="4A2D00FB" w14:textId="77777777" w:rsidR="0042368D" w:rsidRDefault="0042368D" w:rsidP="00F97390">
            <w:pPr>
              <w:spacing w:line="200" w:lineRule="exact"/>
              <w:rPr>
                <w:sz w:val="20"/>
                <w:szCs w:val="20"/>
              </w:rPr>
            </w:pPr>
          </w:p>
          <w:p w14:paraId="3B8B7C91" w14:textId="77777777" w:rsidR="0042368D" w:rsidRDefault="0042368D" w:rsidP="00F97390">
            <w:pPr>
              <w:spacing w:line="200" w:lineRule="exact"/>
              <w:rPr>
                <w:sz w:val="20"/>
                <w:szCs w:val="20"/>
              </w:rPr>
            </w:pPr>
          </w:p>
          <w:p w14:paraId="7136A947" w14:textId="77777777" w:rsidR="0042368D" w:rsidRDefault="0042368D" w:rsidP="00F97390">
            <w:pPr>
              <w:spacing w:line="200" w:lineRule="exact"/>
              <w:rPr>
                <w:sz w:val="20"/>
                <w:szCs w:val="20"/>
              </w:rPr>
            </w:pPr>
          </w:p>
          <w:p w14:paraId="59090A7E" w14:textId="77777777" w:rsidR="0042368D" w:rsidRDefault="0042368D" w:rsidP="00F97390">
            <w:pPr>
              <w:spacing w:before="3" w:line="260" w:lineRule="exact"/>
              <w:rPr>
                <w:sz w:val="26"/>
                <w:szCs w:val="26"/>
              </w:rPr>
            </w:pPr>
          </w:p>
          <w:p w14:paraId="4AE46DCC" w14:textId="77777777" w:rsidR="0042368D" w:rsidRDefault="0042368D" w:rsidP="00F97390">
            <w:pPr>
              <w:ind w:left="100" w:right="-20"/>
              <w:rPr>
                <w:sz w:val="18"/>
                <w:szCs w:val="18"/>
              </w:rPr>
            </w:pPr>
            <w:r>
              <w:rPr>
                <w:b/>
                <w:bCs/>
                <w:sz w:val="18"/>
                <w:szCs w:val="18"/>
              </w:rPr>
              <w:t>E</w:t>
            </w:r>
          </w:p>
        </w:tc>
        <w:tc>
          <w:tcPr>
            <w:tcW w:w="331" w:type="dxa"/>
            <w:vMerge w:val="restart"/>
            <w:tcBorders>
              <w:top w:val="single" w:sz="4" w:space="0" w:color="000000"/>
              <w:left w:val="single" w:sz="4" w:space="0" w:color="000000"/>
              <w:right w:val="single" w:sz="4" w:space="0" w:color="000000"/>
            </w:tcBorders>
          </w:tcPr>
          <w:p w14:paraId="385505C6" w14:textId="77777777" w:rsidR="0042368D" w:rsidRDefault="0042368D" w:rsidP="00F97390">
            <w:pPr>
              <w:spacing w:line="200" w:lineRule="exact"/>
              <w:rPr>
                <w:sz w:val="20"/>
                <w:szCs w:val="20"/>
              </w:rPr>
            </w:pPr>
          </w:p>
          <w:p w14:paraId="30CB4E87" w14:textId="77777777" w:rsidR="0042368D" w:rsidRDefault="0042368D" w:rsidP="00F97390">
            <w:pPr>
              <w:spacing w:line="200" w:lineRule="exact"/>
              <w:rPr>
                <w:sz w:val="20"/>
                <w:szCs w:val="20"/>
              </w:rPr>
            </w:pPr>
          </w:p>
          <w:p w14:paraId="02906378" w14:textId="77777777" w:rsidR="0042368D" w:rsidRDefault="0042368D" w:rsidP="00F97390">
            <w:pPr>
              <w:spacing w:line="200" w:lineRule="exact"/>
              <w:rPr>
                <w:sz w:val="20"/>
                <w:szCs w:val="20"/>
              </w:rPr>
            </w:pPr>
          </w:p>
          <w:p w14:paraId="78449E93" w14:textId="77777777" w:rsidR="0042368D" w:rsidRDefault="0042368D" w:rsidP="00F97390">
            <w:pPr>
              <w:spacing w:line="200" w:lineRule="exact"/>
              <w:rPr>
                <w:sz w:val="20"/>
                <w:szCs w:val="20"/>
              </w:rPr>
            </w:pPr>
          </w:p>
          <w:p w14:paraId="7B845F24" w14:textId="77777777" w:rsidR="0042368D" w:rsidRDefault="0042368D" w:rsidP="00F97390">
            <w:pPr>
              <w:spacing w:line="200" w:lineRule="exact"/>
              <w:rPr>
                <w:sz w:val="20"/>
                <w:szCs w:val="20"/>
              </w:rPr>
            </w:pPr>
          </w:p>
          <w:p w14:paraId="2042F505" w14:textId="77777777" w:rsidR="0042368D" w:rsidRDefault="0042368D" w:rsidP="00F97390">
            <w:pPr>
              <w:spacing w:line="200" w:lineRule="exact"/>
              <w:rPr>
                <w:sz w:val="20"/>
                <w:szCs w:val="20"/>
              </w:rPr>
            </w:pPr>
          </w:p>
          <w:p w14:paraId="43BE8DEB" w14:textId="77777777" w:rsidR="0042368D" w:rsidRDefault="0042368D" w:rsidP="00F97390">
            <w:pPr>
              <w:spacing w:line="200" w:lineRule="exact"/>
              <w:rPr>
                <w:sz w:val="20"/>
                <w:szCs w:val="20"/>
              </w:rPr>
            </w:pPr>
          </w:p>
          <w:p w14:paraId="005746B1" w14:textId="77777777" w:rsidR="0042368D" w:rsidRDefault="0042368D" w:rsidP="00F97390">
            <w:pPr>
              <w:spacing w:line="200" w:lineRule="exact"/>
              <w:rPr>
                <w:sz w:val="20"/>
                <w:szCs w:val="20"/>
              </w:rPr>
            </w:pPr>
          </w:p>
          <w:p w14:paraId="2F3FB15E" w14:textId="77777777" w:rsidR="0042368D" w:rsidRDefault="0042368D" w:rsidP="00F97390">
            <w:pPr>
              <w:spacing w:line="200" w:lineRule="exact"/>
              <w:rPr>
                <w:sz w:val="20"/>
                <w:szCs w:val="20"/>
              </w:rPr>
            </w:pPr>
          </w:p>
          <w:p w14:paraId="39843E6A" w14:textId="77777777" w:rsidR="0042368D" w:rsidRDefault="0042368D" w:rsidP="00F97390">
            <w:pPr>
              <w:spacing w:before="3" w:line="260" w:lineRule="exact"/>
              <w:rPr>
                <w:sz w:val="26"/>
                <w:szCs w:val="26"/>
              </w:rPr>
            </w:pPr>
          </w:p>
          <w:p w14:paraId="215B3383" w14:textId="77777777" w:rsidR="0042368D" w:rsidRDefault="0042368D" w:rsidP="00F97390">
            <w:pPr>
              <w:ind w:left="102" w:right="-20"/>
              <w:rPr>
                <w:sz w:val="18"/>
                <w:szCs w:val="18"/>
              </w:rPr>
            </w:pPr>
            <w:r>
              <w:rPr>
                <w:b/>
                <w:bCs/>
                <w:sz w:val="18"/>
                <w:szCs w:val="18"/>
              </w:rPr>
              <w:t>A</w:t>
            </w:r>
          </w:p>
        </w:tc>
        <w:tc>
          <w:tcPr>
            <w:tcW w:w="329" w:type="dxa"/>
            <w:vMerge w:val="restart"/>
            <w:tcBorders>
              <w:top w:val="single" w:sz="4" w:space="0" w:color="000000"/>
              <w:left w:val="single" w:sz="4" w:space="0" w:color="000000"/>
              <w:right w:val="single" w:sz="4" w:space="0" w:color="000000"/>
            </w:tcBorders>
          </w:tcPr>
          <w:p w14:paraId="42D3FB9C" w14:textId="77777777" w:rsidR="0042368D" w:rsidRDefault="0042368D" w:rsidP="00F97390">
            <w:pPr>
              <w:spacing w:line="200" w:lineRule="exact"/>
              <w:rPr>
                <w:sz w:val="20"/>
                <w:szCs w:val="20"/>
              </w:rPr>
            </w:pPr>
          </w:p>
          <w:p w14:paraId="59687366" w14:textId="77777777" w:rsidR="0042368D" w:rsidRDefault="0042368D" w:rsidP="00F97390">
            <w:pPr>
              <w:spacing w:line="200" w:lineRule="exact"/>
              <w:rPr>
                <w:sz w:val="20"/>
                <w:szCs w:val="20"/>
              </w:rPr>
            </w:pPr>
          </w:p>
          <w:p w14:paraId="17200732" w14:textId="77777777" w:rsidR="0042368D" w:rsidRDefault="0042368D" w:rsidP="00F97390">
            <w:pPr>
              <w:spacing w:line="200" w:lineRule="exact"/>
              <w:rPr>
                <w:sz w:val="20"/>
                <w:szCs w:val="20"/>
              </w:rPr>
            </w:pPr>
          </w:p>
          <w:p w14:paraId="42C0B54C" w14:textId="77777777" w:rsidR="0042368D" w:rsidRDefault="0042368D" w:rsidP="00F97390">
            <w:pPr>
              <w:spacing w:line="200" w:lineRule="exact"/>
              <w:rPr>
                <w:sz w:val="20"/>
                <w:szCs w:val="20"/>
              </w:rPr>
            </w:pPr>
          </w:p>
          <w:p w14:paraId="75F7FDEC" w14:textId="77777777" w:rsidR="0042368D" w:rsidRDefault="0042368D" w:rsidP="00F97390">
            <w:pPr>
              <w:spacing w:line="200" w:lineRule="exact"/>
              <w:rPr>
                <w:sz w:val="20"/>
                <w:szCs w:val="20"/>
              </w:rPr>
            </w:pPr>
          </w:p>
          <w:p w14:paraId="45D5345B" w14:textId="77777777" w:rsidR="0042368D" w:rsidRDefault="0042368D" w:rsidP="00F97390">
            <w:pPr>
              <w:spacing w:line="200" w:lineRule="exact"/>
              <w:rPr>
                <w:sz w:val="20"/>
                <w:szCs w:val="20"/>
              </w:rPr>
            </w:pPr>
          </w:p>
          <w:p w14:paraId="1F465702" w14:textId="77777777" w:rsidR="0042368D" w:rsidRDefault="0042368D" w:rsidP="00F97390">
            <w:pPr>
              <w:spacing w:line="200" w:lineRule="exact"/>
              <w:rPr>
                <w:sz w:val="20"/>
                <w:szCs w:val="20"/>
              </w:rPr>
            </w:pPr>
          </w:p>
          <w:p w14:paraId="6884BA4C" w14:textId="77777777" w:rsidR="0042368D" w:rsidRDefault="0042368D" w:rsidP="00F97390">
            <w:pPr>
              <w:spacing w:line="200" w:lineRule="exact"/>
              <w:rPr>
                <w:sz w:val="20"/>
                <w:szCs w:val="20"/>
              </w:rPr>
            </w:pPr>
          </w:p>
          <w:p w14:paraId="46EBD5E4" w14:textId="77777777" w:rsidR="0042368D" w:rsidRDefault="0042368D" w:rsidP="00F97390">
            <w:pPr>
              <w:spacing w:line="200" w:lineRule="exact"/>
              <w:rPr>
                <w:sz w:val="20"/>
                <w:szCs w:val="20"/>
              </w:rPr>
            </w:pPr>
          </w:p>
          <w:p w14:paraId="60797553" w14:textId="77777777" w:rsidR="0042368D" w:rsidRDefault="0042368D" w:rsidP="00F97390">
            <w:pPr>
              <w:spacing w:before="3" w:line="260" w:lineRule="exact"/>
              <w:rPr>
                <w:sz w:val="26"/>
                <w:szCs w:val="26"/>
              </w:rPr>
            </w:pPr>
          </w:p>
          <w:p w14:paraId="2E96E7C4" w14:textId="77777777" w:rsidR="0042368D" w:rsidRDefault="0042368D" w:rsidP="00F97390">
            <w:pPr>
              <w:ind w:left="100" w:right="-20"/>
              <w:rPr>
                <w:sz w:val="18"/>
                <w:szCs w:val="18"/>
              </w:rPr>
            </w:pPr>
            <w:r>
              <w:rPr>
                <w:b/>
                <w:bCs/>
                <w:sz w:val="18"/>
                <w:szCs w:val="18"/>
              </w:rPr>
              <w:t>V</w:t>
            </w:r>
          </w:p>
        </w:tc>
        <w:tc>
          <w:tcPr>
            <w:tcW w:w="331" w:type="dxa"/>
            <w:vMerge w:val="restart"/>
            <w:tcBorders>
              <w:top w:val="single" w:sz="4" w:space="0" w:color="000000"/>
              <w:left w:val="single" w:sz="4" w:space="0" w:color="000000"/>
              <w:right w:val="single" w:sz="4" w:space="0" w:color="000000"/>
            </w:tcBorders>
          </w:tcPr>
          <w:p w14:paraId="6E461248" w14:textId="77777777" w:rsidR="0042368D" w:rsidRDefault="0042368D" w:rsidP="00F97390">
            <w:pPr>
              <w:spacing w:line="200" w:lineRule="exact"/>
              <w:rPr>
                <w:sz w:val="20"/>
                <w:szCs w:val="20"/>
              </w:rPr>
            </w:pPr>
          </w:p>
          <w:p w14:paraId="11384A52" w14:textId="77777777" w:rsidR="0042368D" w:rsidRDefault="0042368D" w:rsidP="00F97390">
            <w:pPr>
              <w:spacing w:line="200" w:lineRule="exact"/>
              <w:rPr>
                <w:sz w:val="20"/>
                <w:szCs w:val="20"/>
              </w:rPr>
            </w:pPr>
          </w:p>
          <w:p w14:paraId="3787F080" w14:textId="77777777" w:rsidR="0042368D" w:rsidRDefault="0042368D" w:rsidP="00F97390">
            <w:pPr>
              <w:spacing w:line="200" w:lineRule="exact"/>
              <w:rPr>
                <w:sz w:val="20"/>
                <w:szCs w:val="20"/>
              </w:rPr>
            </w:pPr>
          </w:p>
          <w:p w14:paraId="752227A1" w14:textId="77777777" w:rsidR="0042368D" w:rsidRDefault="0042368D" w:rsidP="00F97390">
            <w:pPr>
              <w:spacing w:line="200" w:lineRule="exact"/>
              <w:rPr>
                <w:sz w:val="20"/>
                <w:szCs w:val="20"/>
              </w:rPr>
            </w:pPr>
          </w:p>
          <w:p w14:paraId="3A57301E" w14:textId="77777777" w:rsidR="0042368D" w:rsidRDefault="0042368D" w:rsidP="00F97390">
            <w:pPr>
              <w:spacing w:line="200" w:lineRule="exact"/>
              <w:rPr>
                <w:sz w:val="20"/>
                <w:szCs w:val="20"/>
              </w:rPr>
            </w:pPr>
          </w:p>
          <w:p w14:paraId="3DDDC6A4" w14:textId="77777777" w:rsidR="0042368D" w:rsidRDefault="0042368D" w:rsidP="00F97390">
            <w:pPr>
              <w:spacing w:line="200" w:lineRule="exact"/>
              <w:rPr>
                <w:sz w:val="20"/>
                <w:szCs w:val="20"/>
              </w:rPr>
            </w:pPr>
          </w:p>
          <w:p w14:paraId="001A4FF5" w14:textId="77777777" w:rsidR="0042368D" w:rsidRDefault="0042368D" w:rsidP="00F97390">
            <w:pPr>
              <w:spacing w:line="200" w:lineRule="exact"/>
              <w:rPr>
                <w:sz w:val="20"/>
                <w:szCs w:val="20"/>
              </w:rPr>
            </w:pPr>
          </w:p>
          <w:p w14:paraId="0C7A1D55" w14:textId="77777777" w:rsidR="0042368D" w:rsidRDefault="0042368D" w:rsidP="00F97390">
            <w:pPr>
              <w:spacing w:line="200" w:lineRule="exact"/>
              <w:rPr>
                <w:sz w:val="20"/>
                <w:szCs w:val="20"/>
              </w:rPr>
            </w:pPr>
          </w:p>
          <w:p w14:paraId="43C4099E" w14:textId="77777777" w:rsidR="0042368D" w:rsidRDefault="0042368D" w:rsidP="00F97390">
            <w:pPr>
              <w:spacing w:line="200" w:lineRule="exact"/>
              <w:rPr>
                <w:sz w:val="20"/>
                <w:szCs w:val="20"/>
              </w:rPr>
            </w:pPr>
          </w:p>
          <w:p w14:paraId="52B1BC0B" w14:textId="77777777" w:rsidR="0042368D" w:rsidRDefault="0042368D" w:rsidP="00F97390">
            <w:pPr>
              <w:spacing w:before="3" w:line="260" w:lineRule="exact"/>
              <w:rPr>
                <w:sz w:val="26"/>
                <w:szCs w:val="26"/>
              </w:rPr>
            </w:pPr>
          </w:p>
          <w:p w14:paraId="0787D1C2" w14:textId="77777777" w:rsidR="0042368D" w:rsidRDefault="0042368D" w:rsidP="00F97390">
            <w:pPr>
              <w:ind w:left="102" w:right="-20"/>
              <w:rPr>
                <w:sz w:val="18"/>
                <w:szCs w:val="18"/>
              </w:rPr>
            </w:pPr>
            <w:r>
              <w:rPr>
                <w:b/>
                <w:bCs/>
                <w:sz w:val="18"/>
                <w:szCs w:val="18"/>
              </w:rPr>
              <w:t>O</w:t>
            </w:r>
          </w:p>
        </w:tc>
        <w:tc>
          <w:tcPr>
            <w:tcW w:w="329" w:type="dxa"/>
            <w:vMerge w:val="restart"/>
            <w:tcBorders>
              <w:top w:val="single" w:sz="4" w:space="0" w:color="000000"/>
              <w:left w:val="single" w:sz="4" w:space="0" w:color="000000"/>
              <w:right w:val="single" w:sz="4" w:space="0" w:color="000000"/>
            </w:tcBorders>
          </w:tcPr>
          <w:p w14:paraId="0086B834" w14:textId="77777777" w:rsidR="0042368D" w:rsidRDefault="0042368D" w:rsidP="00F97390">
            <w:pPr>
              <w:spacing w:line="200" w:lineRule="exact"/>
              <w:rPr>
                <w:sz w:val="20"/>
                <w:szCs w:val="20"/>
              </w:rPr>
            </w:pPr>
          </w:p>
          <w:p w14:paraId="4B554342" w14:textId="77777777" w:rsidR="0042368D" w:rsidRDefault="0042368D" w:rsidP="00F97390">
            <w:pPr>
              <w:spacing w:line="200" w:lineRule="exact"/>
              <w:rPr>
                <w:sz w:val="20"/>
                <w:szCs w:val="20"/>
              </w:rPr>
            </w:pPr>
          </w:p>
          <w:p w14:paraId="210226CD" w14:textId="77777777" w:rsidR="0042368D" w:rsidRDefault="0042368D" w:rsidP="00F97390">
            <w:pPr>
              <w:spacing w:line="200" w:lineRule="exact"/>
              <w:rPr>
                <w:sz w:val="20"/>
                <w:szCs w:val="20"/>
              </w:rPr>
            </w:pPr>
          </w:p>
          <w:p w14:paraId="6A975405" w14:textId="77777777" w:rsidR="0042368D" w:rsidRDefault="0042368D" w:rsidP="00F97390">
            <w:pPr>
              <w:spacing w:line="200" w:lineRule="exact"/>
              <w:rPr>
                <w:sz w:val="20"/>
                <w:szCs w:val="20"/>
              </w:rPr>
            </w:pPr>
          </w:p>
          <w:p w14:paraId="4A7F43F2" w14:textId="77777777" w:rsidR="0042368D" w:rsidRDefault="0042368D" w:rsidP="00F97390">
            <w:pPr>
              <w:spacing w:line="200" w:lineRule="exact"/>
              <w:rPr>
                <w:sz w:val="20"/>
                <w:szCs w:val="20"/>
              </w:rPr>
            </w:pPr>
          </w:p>
          <w:p w14:paraId="0F5E659F" w14:textId="77777777" w:rsidR="0042368D" w:rsidRDefault="0042368D" w:rsidP="00F97390">
            <w:pPr>
              <w:spacing w:line="200" w:lineRule="exact"/>
              <w:rPr>
                <w:sz w:val="20"/>
                <w:szCs w:val="20"/>
              </w:rPr>
            </w:pPr>
          </w:p>
          <w:p w14:paraId="336D3BE9" w14:textId="77777777" w:rsidR="0042368D" w:rsidRDefault="0042368D" w:rsidP="00F97390">
            <w:pPr>
              <w:spacing w:line="200" w:lineRule="exact"/>
              <w:rPr>
                <w:sz w:val="20"/>
                <w:szCs w:val="20"/>
              </w:rPr>
            </w:pPr>
          </w:p>
          <w:p w14:paraId="00A02780" w14:textId="77777777" w:rsidR="0042368D" w:rsidRDefault="0042368D" w:rsidP="00F97390">
            <w:pPr>
              <w:spacing w:line="200" w:lineRule="exact"/>
              <w:rPr>
                <w:sz w:val="20"/>
                <w:szCs w:val="20"/>
              </w:rPr>
            </w:pPr>
          </w:p>
          <w:p w14:paraId="1B18026A" w14:textId="77777777" w:rsidR="0042368D" w:rsidRDefault="0042368D" w:rsidP="00F97390">
            <w:pPr>
              <w:spacing w:line="200" w:lineRule="exact"/>
              <w:rPr>
                <w:sz w:val="20"/>
                <w:szCs w:val="20"/>
              </w:rPr>
            </w:pPr>
          </w:p>
          <w:p w14:paraId="032156BB" w14:textId="77777777" w:rsidR="0042368D" w:rsidRDefault="0042368D" w:rsidP="00F97390">
            <w:pPr>
              <w:spacing w:before="3" w:line="260" w:lineRule="exact"/>
              <w:rPr>
                <w:sz w:val="26"/>
                <w:szCs w:val="26"/>
              </w:rPr>
            </w:pPr>
          </w:p>
          <w:p w14:paraId="31090815" w14:textId="77777777" w:rsidR="0042368D" w:rsidRDefault="0042368D" w:rsidP="00F97390">
            <w:pPr>
              <w:ind w:left="100" w:right="-20"/>
              <w:rPr>
                <w:sz w:val="18"/>
                <w:szCs w:val="18"/>
              </w:rPr>
            </w:pPr>
            <w:r>
              <w:rPr>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4287DC0B" w14:textId="77777777" w:rsidR="0042368D" w:rsidRDefault="0042368D" w:rsidP="00F97390">
            <w:pPr>
              <w:spacing w:before="2" w:line="110" w:lineRule="exact"/>
              <w:rPr>
                <w:sz w:val="11"/>
                <w:szCs w:val="11"/>
              </w:rPr>
            </w:pPr>
          </w:p>
          <w:p w14:paraId="711172FD" w14:textId="77777777" w:rsidR="0042368D" w:rsidRDefault="0042368D" w:rsidP="00F97390">
            <w:pPr>
              <w:spacing w:line="301" w:lineRule="auto"/>
              <w:ind w:left="283" w:right="264" w:hanging="1"/>
              <w:jc w:val="center"/>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1"/>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l’s</w:t>
            </w:r>
            <w:r>
              <w:rPr>
                <w:b/>
                <w:bCs/>
                <w:spacing w:val="3"/>
                <w:sz w:val="18"/>
                <w:szCs w:val="18"/>
              </w:rPr>
              <w:t xml:space="preserve">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r>
              <w:rPr>
                <w:b/>
                <w:bCs/>
                <w:spacing w:val="1"/>
                <w:sz w:val="18"/>
                <w:szCs w:val="18"/>
              </w:rPr>
              <w:t>o</w:t>
            </w:r>
            <w:r>
              <w:rPr>
                <w:b/>
                <w:bCs/>
                <w:sz w:val="18"/>
                <w:szCs w:val="18"/>
              </w:rPr>
              <w:t>n</w:t>
            </w:r>
          </w:p>
        </w:tc>
        <w:tc>
          <w:tcPr>
            <w:tcW w:w="6394" w:type="dxa"/>
            <w:gridSpan w:val="4"/>
            <w:tcBorders>
              <w:top w:val="single" w:sz="4" w:space="0" w:color="000000"/>
              <w:left w:val="single" w:sz="4" w:space="0" w:color="000000"/>
              <w:bottom w:val="single" w:sz="4" w:space="0" w:color="000000"/>
              <w:right w:val="single" w:sz="4" w:space="0" w:color="000000"/>
            </w:tcBorders>
          </w:tcPr>
          <w:p w14:paraId="4575461A" w14:textId="77777777" w:rsidR="0042368D" w:rsidRDefault="0042368D" w:rsidP="00F97390">
            <w:pPr>
              <w:spacing w:line="200" w:lineRule="exact"/>
              <w:rPr>
                <w:sz w:val="20"/>
                <w:szCs w:val="20"/>
              </w:rPr>
            </w:pPr>
          </w:p>
          <w:p w14:paraId="3F0F2664" w14:textId="77777777" w:rsidR="0042368D" w:rsidRDefault="0042368D" w:rsidP="00F97390">
            <w:pPr>
              <w:spacing w:line="200" w:lineRule="exact"/>
              <w:rPr>
                <w:sz w:val="20"/>
                <w:szCs w:val="20"/>
              </w:rPr>
            </w:pPr>
          </w:p>
          <w:p w14:paraId="4340A717" w14:textId="77777777" w:rsidR="0042368D" w:rsidRDefault="0042368D" w:rsidP="00F97390">
            <w:pPr>
              <w:spacing w:before="13" w:line="220" w:lineRule="exact"/>
            </w:pPr>
          </w:p>
          <w:p w14:paraId="2256F240" w14:textId="77777777" w:rsidR="0042368D" w:rsidRDefault="0042368D" w:rsidP="00F97390">
            <w:pPr>
              <w:ind w:left="1273" w:right="-20"/>
              <w:rPr>
                <w:sz w:val="18"/>
                <w:szCs w:val="18"/>
              </w:rPr>
            </w:pPr>
            <w:r>
              <w:rPr>
                <w:b/>
                <w:bCs/>
                <w:sz w:val="18"/>
                <w:szCs w:val="18"/>
              </w:rPr>
              <w:t>E</w:t>
            </w:r>
            <w:r>
              <w:rPr>
                <w:b/>
                <w:bCs/>
                <w:spacing w:val="-1"/>
                <w:sz w:val="18"/>
                <w:szCs w:val="18"/>
              </w:rPr>
              <w:t>va</w:t>
            </w:r>
            <w:r>
              <w:rPr>
                <w:b/>
                <w:bCs/>
                <w:spacing w:val="3"/>
                <w:sz w:val="18"/>
                <w:szCs w:val="18"/>
              </w:rPr>
              <w:t>l</w:t>
            </w:r>
            <w:r>
              <w:rPr>
                <w:b/>
                <w:bCs/>
                <w:spacing w:val="-2"/>
                <w:sz w:val="18"/>
                <w:szCs w:val="18"/>
              </w:rPr>
              <w:t>u</w:t>
            </w:r>
            <w:r>
              <w:rPr>
                <w:b/>
                <w:bCs/>
                <w:spacing w:val="-1"/>
                <w:sz w:val="18"/>
                <w:szCs w:val="18"/>
              </w:rPr>
              <w:t>a</w:t>
            </w:r>
            <w:r>
              <w:rPr>
                <w:b/>
                <w:bCs/>
                <w:sz w:val="18"/>
                <w:szCs w:val="18"/>
              </w:rPr>
              <w:t>ti</w:t>
            </w:r>
            <w:r>
              <w:rPr>
                <w:b/>
                <w:bCs/>
                <w:spacing w:val="1"/>
                <w:sz w:val="18"/>
                <w:szCs w:val="18"/>
              </w:rPr>
              <w:t>o</w:t>
            </w:r>
            <w:r>
              <w:rPr>
                <w:b/>
                <w:bCs/>
                <w:sz w:val="18"/>
                <w:szCs w:val="18"/>
              </w:rPr>
              <w:t>n</w:t>
            </w:r>
            <w:r>
              <w:rPr>
                <w:b/>
                <w:bCs/>
                <w:spacing w:val="-1"/>
                <w:sz w:val="18"/>
                <w:szCs w:val="18"/>
              </w:rPr>
              <w:t xml:space="preserve"> o</w:t>
            </w:r>
            <w:r>
              <w:rPr>
                <w:b/>
                <w:bCs/>
                <w:sz w:val="18"/>
                <w:szCs w:val="18"/>
              </w:rPr>
              <w:t>f</w:t>
            </w:r>
            <w:r>
              <w:rPr>
                <w:b/>
                <w:bCs/>
                <w:spacing w:val="1"/>
                <w:sz w:val="18"/>
                <w:szCs w:val="18"/>
              </w:rPr>
              <w:t xml:space="preserve"> </w:t>
            </w:r>
            <w:r>
              <w:rPr>
                <w:b/>
                <w:bCs/>
                <w:spacing w:val="3"/>
                <w:sz w:val="18"/>
                <w:szCs w:val="18"/>
              </w:rPr>
              <w:t>t</w:t>
            </w:r>
            <w:r>
              <w:rPr>
                <w:b/>
                <w:bCs/>
                <w:spacing w:val="-2"/>
                <w:sz w:val="18"/>
                <w:szCs w:val="18"/>
              </w:rPr>
              <w:t>h</w:t>
            </w:r>
            <w:r>
              <w:rPr>
                <w:b/>
                <w:bCs/>
                <w:sz w:val="18"/>
                <w:szCs w:val="18"/>
              </w:rPr>
              <w:t xml:space="preserve">e </w:t>
            </w:r>
            <w:r>
              <w:rPr>
                <w:b/>
                <w:bCs/>
                <w:spacing w:val="2"/>
                <w:sz w:val="18"/>
                <w:szCs w:val="18"/>
              </w:rPr>
              <w:t>c</w:t>
            </w:r>
            <w:r>
              <w:rPr>
                <w:b/>
                <w:bCs/>
                <w:spacing w:val="-1"/>
                <w:sz w:val="18"/>
                <w:szCs w:val="18"/>
              </w:rPr>
              <w:t>o</w:t>
            </w:r>
            <w:r>
              <w:rPr>
                <w:b/>
                <w:bCs/>
                <w:spacing w:val="-2"/>
                <w:sz w:val="18"/>
                <w:szCs w:val="18"/>
              </w:rPr>
              <w:t>n</w:t>
            </w:r>
            <w:r>
              <w:rPr>
                <w:b/>
                <w:bCs/>
                <w:spacing w:val="3"/>
                <w:sz w:val="18"/>
                <w:szCs w:val="18"/>
              </w:rPr>
              <w:t>t</w:t>
            </w:r>
            <w:r>
              <w:rPr>
                <w:b/>
                <w:bCs/>
                <w:spacing w:val="-1"/>
                <w:sz w:val="18"/>
                <w:szCs w:val="18"/>
              </w:rPr>
              <w:t>ro</w:t>
            </w:r>
            <w:r>
              <w:rPr>
                <w:b/>
                <w:bCs/>
                <w:sz w:val="18"/>
                <w:szCs w:val="18"/>
              </w:rPr>
              <w:t xml:space="preserve">l’s </w:t>
            </w:r>
            <w:r>
              <w:rPr>
                <w:b/>
                <w:bCs/>
                <w:spacing w:val="1"/>
                <w:sz w:val="18"/>
                <w:szCs w:val="18"/>
              </w:rPr>
              <w:t>o</w:t>
            </w:r>
            <w:r>
              <w:rPr>
                <w:b/>
                <w:bCs/>
                <w:spacing w:val="-2"/>
                <w:sz w:val="18"/>
                <w:szCs w:val="18"/>
              </w:rPr>
              <w:t>p</w:t>
            </w:r>
            <w:r>
              <w:rPr>
                <w:b/>
                <w:bCs/>
                <w:spacing w:val="2"/>
                <w:sz w:val="18"/>
                <w:szCs w:val="18"/>
              </w:rPr>
              <w:t>er</w:t>
            </w:r>
            <w:r>
              <w:rPr>
                <w:b/>
                <w:bCs/>
                <w:spacing w:val="-1"/>
                <w:sz w:val="18"/>
                <w:szCs w:val="18"/>
              </w:rPr>
              <w:t>a</w:t>
            </w:r>
            <w:r>
              <w:rPr>
                <w:b/>
                <w:bCs/>
                <w:sz w:val="18"/>
                <w:szCs w:val="18"/>
              </w:rPr>
              <w:t>ti</w:t>
            </w:r>
            <w:r>
              <w:rPr>
                <w:b/>
                <w:bCs/>
                <w:spacing w:val="-2"/>
                <w:sz w:val="18"/>
                <w:szCs w:val="18"/>
              </w:rPr>
              <w:t>n</w:t>
            </w:r>
            <w:r>
              <w:rPr>
                <w:b/>
                <w:bCs/>
                <w:sz w:val="18"/>
                <w:szCs w:val="18"/>
              </w:rPr>
              <w:t>g</w:t>
            </w:r>
            <w:r>
              <w:rPr>
                <w:b/>
                <w:bCs/>
                <w:spacing w:val="2"/>
                <w:sz w:val="18"/>
                <w:szCs w:val="18"/>
              </w:rPr>
              <w:t xml:space="preserve">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1"/>
                <w:sz w:val="18"/>
                <w:szCs w:val="18"/>
              </w:rPr>
              <w:t>e</w:t>
            </w:r>
            <w:r>
              <w:rPr>
                <w:b/>
                <w:bCs/>
                <w:spacing w:val="1"/>
                <w:sz w:val="18"/>
                <w:szCs w:val="18"/>
              </w:rPr>
              <w:t>n</w:t>
            </w:r>
            <w:r>
              <w:rPr>
                <w:b/>
                <w:bCs/>
                <w:spacing w:val="-1"/>
                <w:sz w:val="18"/>
                <w:szCs w:val="18"/>
              </w:rPr>
              <w:t>e</w:t>
            </w:r>
            <w:r>
              <w:rPr>
                <w:b/>
                <w:bCs/>
                <w:sz w:val="18"/>
                <w:szCs w:val="18"/>
              </w:rPr>
              <w:t>ss</w:t>
            </w:r>
          </w:p>
        </w:tc>
      </w:tr>
      <w:tr w:rsidR="0042368D" w14:paraId="174C175E" w14:textId="77777777" w:rsidTr="00F97390">
        <w:trPr>
          <w:trHeight w:hRule="exact" w:val="1430"/>
          <w:tblHeader/>
        </w:trPr>
        <w:tc>
          <w:tcPr>
            <w:tcW w:w="1253" w:type="dxa"/>
            <w:vMerge/>
            <w:tcBorders>
              <w:left w:val="single" w:sz="4" w:space="0" w:color="000000"/>
              <w:bottom w:val="single" w:sz="4" w:space="0" w:color="000000"/>
              <w:right w:val="single" w:sz="4" w:space="0" w:color="000000"/>
            </w:tcBorders>
          </w:tcPr>
          <w:p w14:paraId="7AC34058" w14:textId="77777777" w:rsidR="0042368D" w:rsidRDefault="0042368D" w:rsidP="00F97390"/>
        </w:tc>
        <w:tc>
          <w:tcPr>
            <w:tcW w:w="540" w:type="dxa"/>
            <w:vMerge/>
            <w:tcBorders>
              <w:left w:val="single" w:sz="4" w:space="0" w:color="000000"/>
              <w:bottom w:val="single" w:sz="4" w:space="0" w:color="000000"/>
              <w:right w:val="single" w:sz="4" w:space="0" w:color="000000"/>
            </w:tcBorders>
            <w:textDirection w:val="btLr"/>
          </w:tcPr>
          <w:p w14:paraId="2F887245" w14:textId="77777777" w:rsidR="0042368D" w:rsidRDefault="0042368D" w:rsidP="00F97390"/>
        </w:tc>
        <w:tc>
          <w:tcPr>
            <w:tcW w:w="1260" w:type="dxa"/>
            <w:vMerge/>
            <w:tcBorders>
              <w:left w:val="single" w:sz="4" w:space="0" w:color="000000"/>
              <w:bottom w:val="single" w:sz="4" w:space="0" w:color="000000"/>
              <w:right w:val="single" w:sz="4" w:space="0" w:color="000000"/>
            </w:tcBorders>
          </w:tcPr>
          <w:p w14:paraId="2094961D" w14:textId="77777777" w:rsidR="0042368D" w:rsidRDefault="0042368D" w:rsidP="00F97390"/>
        </w:tc>
        <w:tc>
          <w:tcPr>
            <w:tcW w:w="331" w:type="dxa"/>
            <w:vMerge/>
            <w:tcBorders>
              <w:left w:val="single" w:sz="4" w:space="0" w:color="000000"/>
              <w:bottom w:val="single" w:sz="4" w:space="0" w:color="000000"/>
              <w:right w:val="single" w:sz="4" w:space="0" w:color="000000"/>
            </w:tcBorders>
          </w:tcPr>
          <w:p w14:paraId="7F4F903A" w14:textId="77777777" w:rsidR="0042368D" w:rsidRDefault="0042368D" w:rsidP="00F97390"/>
        </w:tc>
        <w:tc>
          <w:tcPr>
            <w:tcW w:w="329" w:type="dxa"/>
            <w:vMerge/>
            <w:tcBorders>
              <w:left w:val="single" w:sz="4" w:space="0" w:color="000000"/>
              <w:bottom w:val="single" w:sz="4" w:space="0" w:color="000000"/>
              <w:right w:val="single" w:sz="4" w:space="0" w:color="000000"/>
            </w:tcBorders>
          </w:tcPr>
          <w:p w14:paraId="2A5CFC07" w14:textId="77777777" w:rsidR="0042368D" w:rsidRDefault="0042368D" w:rsidP="00F97390"/>
        </w:tc>
        <w:tc>
          <w:tcPr>
            <w:tcW w:w="331" w:type="dxa"/>
            <w:vMerge/>
            <w:tcBorders>
              <w:left w:val="single" w:sz="4" w:space="0" w:color="000000"/>
              <w:bottom w:val="single" w:sz="4" w:space="0" w:color="000000"/>
              <w:right w:val="single" w:sz="4" w:space="0" w:color="000000"/>
            </w:tcBorders>
          </w:tcPr>
          <w:p w14:paraId="4C3D753B" w14:textId="77777777" w:rsidR="0042368D" w:rsidRDefault="0042368D" w:rsidP="00F97390"/>
        </w:tc>
        <w:tc>
          <w:tcPr>
            <w:tcW w:w="329" w:type="dxa"/>
            <w:vMerge/>
            <w:tcBorders>
              <w:left w:val="single" w:sz="4" w:space="0" w:color="000000"/>
              <w:bottom w:val="single" w:sz="4" w:space="0" w:color="000000"/>
              <w:right w:val="single" w:sz="4" w:space="0" w:color="000000"/>
            </w:tcBorders>
          </w:tcPr>
          <w:p w14:paraId="6CC7265B" w14:textId="77777777" w:rsidR="0042368D" w:rsidRDefault="0042368D" w:rsidP="00F97390"/>
        </w:tc>
        <w:tc>
          <w:tcPr>
            <w:tcW w:w="331" w:type="dxa"/>
            <w:vMerge/>
            <w:tcBorders>
              <w:left w:val="single" w:sz="4" w:space="0" w:color="000000"/>
              <w:bottom w:val="single" w:sz="4" w:space="0" w:color="000000"/>
              <w:right w:val="single" w:sz="4" w:space="0" w:color="000000"/>
            </w:tcBorders>
          </w:tcPr>
          <w:p w14:paraId="2F176DAA" w14:textId="77777777" w:rsidR="0042368D" w:rsidRDefault="0042368D" w:rsidP="00F97390"/>
        </w:tc>
        <w:tc>
          <w:tcPr>
            <w:tcW w:w="329" w:type="dxa"/>
            <w:vMerge/>
            <w:tcBorders>
              <w:left w:val="single" w:sz="4" w:space="0" w:color="000000"/>
              <w:bottom w:val="single" w:sz="4" w:space="0" w:color="000000"/>
              <w:right w:val="single" w:sz="4" w:space="0" w:color="000000"/>
            </w:tcBorders>
          </w:tcPr>
          <w:p w14:paraId="30D6EF4C" w14:textId="77777777" w:rsidR="0042368D" w:rsidRDefault="0042368D" w:rsidP="00F97390"/>
        </w:tc>
        <w:tc>
          <w:tcPr>
            <w:tcW w:w="1260" w:type="dxa"/>
            <w:tcBorders>
              <w:top w:val="single" w:sz="4" w:space="0" w:color="000000"/>
              <w:left w:val="single" w:sz="4" w:space="0" w:color="000000"/>
              <w:bottom w:val="single" w:sz="4" w:space="0" w:color="000000"/>
              <w:right w:val="single" w:sz="4" w:space="0" w:color="000000"/>
            </w:tcBorders>
          </w:tcPr>
          <w:p w14:paraId="40A6F699" w14:textId="77777777" w:rsidR="0042368D" w:rsidRDefault="0042368D" w:rsidP="00F97390">
            <w:pPr>
              <w:spacing w:before="2" w:line="110" w:lineRule="exact"/>
              <w:rPr>
                <w:sz w:val="11"/>
                <w:szCs w:val="11"/>
              </w:rPr>
            </w:pPr>
          </w:p>
          <w:p w14:paraId="604F2A11" w14:textId="77777777" w:rsidR="0042368D" w:rsidRDefault="0042368D" w:rsidP="00F97390">
            <w:pPr>
              <w:spacing w:line="301" w:lineRule="auto"/>
              <w:ind w:left="99" w:right="82" w:firstLine="1"/>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 xml:space="preserve">f </w:t>
            </w:r>
            <w:r>
              <w:rPr>
                <w:b/>
                <w:bCs/>
                <w:spacing w:val="-1"/>
                <w:sz w:val="18"/>
                <w:szCs w:val="18"/>
              </w:rPr>
              <w:t>eva</w:t>
            </w:r>
            <w:r>
              <w:rPr>
                <w:b/>
                <w:bCs/>
                <w:spacing w:val="3"/>
                <w:sz w:val="18"/>
                <w:szCs w:val="18"/>
              </w:rPr>
              <w:t>l</w:t>
            </w:r>
            <w:r>
              <w:rPr>
                <w:b/>
                <w:bCs/>
                <w:spacing w:val="-2"/>
                <w:sz w:val="18"/>
                <w:szCs w:val="18"/>
              </w:rPr>
              <w:t>u</w:t>
            </w:r>
            <w:r>
              <w:rPr>
                <w:b/>
                <w:bCs/>
                <w:spacing w:val="-1"/>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r>
              <w:rPr>
                <w:b/>
                <w:bCs/>
                <w:spacing w:val="1"/>
                <w:sz w:val="18"/>
                <w:szCs w:val="18"/>
              </w:rPr>
              <w:t xml:space="preserve"> </w:t>
            </w:r>
            <w:r>
              <w:rPr>
                <w:b/>
                <w:bCs/>
                <w:spacing w:val="-1"/>
                <w:sz w:val="18"/>
                <w:szCs w:val="18"/>
              </w:rPr>
              <w:t xml:space="preserve">of </w:t>
            </w:r>
            <w:r>
              <w:rPr>
                <w:b/>
                <w:bCs/>
                <w:spacing w:val="-2"/>
                <w:sz w:val="18"/>
                <w:szCs w:val="18"/>
              </w:rPr>
              <w:t>d</w:t>
            </w:r>
            <w:r>
              <w:rPr>
                <w:b/>
                <w:bCs/>
                <w:spacing w:val="-1"/>
                <w:sz w:val="18"/>
                <w:szCs w:val="18"/>
              </w:rPr>
              <w:t>e</w:t>
            </w:r>
            <w:r>
              <w:rPr>
                <w:b/>
                <w:bCs/>
                <w:sz w:val="18"/>
                <w:szCs w:val="18"/>
              </w:rPr>
              <w:t>si</w:t>
            </w:r>
            <w:r>
              <w:rPr>
                <w:b/>
                <w:bCs/>
                <w:spacing w:val="1"/>
                <w:sz w:val="18"/>
                <w:szCs w:val="18"/>
              </w:rPr>
              <w:t>g</w:t>
            </w:r>
            <w:r>
              <w:rPr>
                <w:b/>
                <w:bCs/>
                <w:sz w:val="18"/>
                <w:szCs w:val="18"/>
              </w:rPr>
              <w:t>n</w:t>
            </w:r>
            <w:r>
              <w:rPr>
                <w:b/>
                <w:bCs/>
                <w:spacing w:val="1"/>
                <w:sz w:val="18"/>
                <w:szCs w:val="18"/>
              </w:rPr>
              <w:t xml:space="preserve"> </w:t>
            </w:r>
            <w:r>
              <w:rPr>
                <w:b/>
                <w:bCs/>
                <w:spacing w:val="-1"/>
                <w:sz w:val="18"/>
                <w:szCs w:val="18"/>
              </w:rPr>
              <w:t>a</w:t>
            </w:r>
            <w:r>
              <w:rPr>
                <w:b/>
                <w:bCs/>
                <w:spacing w:val="1"/>
                <w:sz w:val="18"/>
                <w:szCs w:val="18"/>
              </w:rPr>
              <w:t>n</w:t>
            </w:r>
            <w:r>
              <w:rPr>
                <w:b/>
                <w:bCs/>
                <w:sz w:val="18"/>
                <w:szCs w:val="18"/>
              </w:rPr>
              <w:t xml:space="preserve">d </w:t>
            </w:r>
            <w:proofErr w:type="spellStart"/>
            <w:r>
              <w:rPr>
                <w:b/>
                <w:bCs/>
                <w:spacing w:val="3"/>
                <w:sz w:val="18"/>
                <w:szCs w:val="18"/>
              </w:rPr>
              <w:t>i</w:t>
            </w:r>
            <w:r>
              <w:rPr>
                <w:b/>
                <w:bCs/>
                <w:spacing w:val="-4"/>
                <w:sz w:val="18"/>
                <w:szCs w:val="18"/>
              </w:rPr>
              <w:t>m</w:t>
            </w:r>
            <w:r>
              <w:rPr>
                <w:b/>
                <w:bCs/>
                <w:spacing w:val="-2"/>
                <w:sz w:val="18"/>
                <w:szCs w:val="18"/>
              </w:rPr>
              <w:t>p</w:t>
            </w:r>
            <w:r>
              <w:rPr>
                <w:b/>
                <w:bCs/>
                <w:sz w:val="18"/>
                <w:szCs w:val="18"/>
              </w:rPr>
              <w:t>l</w:t>
            </w:r>
            <w:r>
              <w:rPr>
                <w:b/>
                <w:bCs/>
                <w:spacing w:val="4"/>
                <w:sz w:val="18"/>
                <w:szCs w:val="18"/>
              </w:rPr>
              <w:t>e</w:t>
            </w:r>
            <w:r>
              <w:rPr>
                <w:b/>
                <w:bCs/>
                <w:spacing w:val="-4"/>
                <w:sz w:val="18"/>
                <w:szCs w:val="18"/>
              </w:rPr>
              <w:t>m</w:t>
            </w:r>
            <w:r>
              <w:rPr>
                <w:b/>
                <w:bCs/>
                <w:spacing w:val="2"/>
                <w:sz w:val="18"/>
                <w:szCs w:val="18"/>
              </w:rPr>
              <w:t>e</w:t>
            </w:r>
            <w:r>
              <w:rPr>
                <w:b/>
                <w:bCs/>
                <w:spacing w:val="-2"/>
                <w:sz w:val="18"/>
                <w:szCs w:val="18"/>
              </w:rPr>
              <w:t>n</w:t>
            </w:r>
            <w:r>
              <w:rPr>
                <w:b/>
                <w:bCs/>
                <w:sz w:val="18"/>
                <w:szCs w:val="18"/>
              </w:rPr>
              <w:t>t</w:t>
            </w:r>
            <w:r>
              <w:rPr>
                <w:b/>
                <w:bCs/>
                <w:spacing w:val="-1"/>
                <w:sz w:val="18"/>
                <w:szCs w:val="18"/>
              </w:rPr>
              <w:t>a</w:t>
            </w:r>
            <w:r>
              <w:rPr>
                <w:b/>
                <w:bCs/>
                <w:sz w:val="18"/>
                <w:szCs w:val="18"/>
              </w:rPr>
              <w:t>ti</w:t>
            </w:r>
            <w:proofErr w:type="spellEnd"/>
            <w:r>
              <w:rPr>
                <w:b/>
                <w:bCs/>
                <w:sz w:val="18"/>
                <w:szCs w:val="18"/>
              </w:rPr>
              <w:t xml:space="preserve"> </w:t>
            </w:r>
            <w:r>
              <w:rPr>
                <w:b/>
                <w:bCs/>
                <w:spacing w:val="-1"/>
                <w:sz w:val="18"/>
                <w:szCs w:val="18"/>
              </w:rPr>
              <w:t>on</w:t>
            </w:r>
          </w:p>
        </w:tc>
        <w:tc>
          <w:tcPr>
            <w:tcW w:w="900" w:type="dxa"/>
            <w:tcBorders>
              <w:top w:val="single" w:sz="4" w:space="0" w:color="000000"/>
              <w:left w:val="single" w:sz="4" w:space="0" w:color="000000"/>
              <w:bottom w:val="single" w:sz="4" w:space="0" w:color="000000"/>
              <w:right w:val="single" w:sz="4" w:space="0" w:color="000000"/>
            </w:tcBorders>
          </w:tcPr>
          <w:p w14:paraId="580DA9E3" w14:textId="77777777" w:rsidR="0042368D" w:rsidRDefault="0042368D" w:rsidP="00F97390">
            <w:pPr>
              <w:spacing w:before="3" w:line="150" w:lineRule="exact"/>
              <w:rPr>
                <w:sz w:val="15"/>
                <w:szCs w:val="15"/>
              </w:rPr>
            </w:pPr>
          </w:p>
          <w:p w14:paraId="1F3B4FE5" w14:textId="77777777" w:rsidR="0042368D" w:rsidRDefault="0042368D" w:rsidP="00F97390">
            <w:pPr>
              <w:spacing w:line="200" w:lineRule="exact"/>
              <w:rPr>
                <w:sz w:val="20"/>
                <w:szCs w:val="20"/>
              </w:rPr>
            </w:pPr>
          </w:p>
          <w:p w14:paraId="4174C348" w14:textId="77777777" w:rsidR="0042368D" w:rsidRDefault="0042368D" w:rsidP="00F97390">
            <w:pPr>
              <w:spacing w:line="200" w:lineRule="exact"/>
              <w:rPr>
                <w:sz w:val="20"/>
                <w:szCs w:val="20"/>
              </w:rPr>
            </w:pPr>
          </w:p>
          <w:p w14:paraId="377478C0" w14:textId="77777777" w:rsidR="0042368D" w:rsidRDefault="0042368D" w:rsidP="00F97390">
            <w:pPr>
              <w:spacing w:line="200" w:lineRule="exact"/>
              <w:rPr>
                <w:sz w:val="20"/>
                <w:szCs w:val="20"/>
              </w:rPr>
            </w:pPr>
          </w:p>
          <w:p w14:paraId="0A491E31" w14:textId="77777777" w:rsidR="0042368D" w:rsidRDefault="0042368D" w:rsidP="00F97390">
            <w:pPr>
              <w:spacing w:line="200" w:lineRule="exact"/>
              <w:rPr>
                <w:sz w:val="20"/>
                <w:szCs w:val="20"/>
              </w:rPr>
            </w:pPr>
          </w:p>
          <w:p w14:paraId="3217F95F" w14:textId="77777777" w:rsidR="0042368D" w:rsidRDefault="0042368D" w:rsidP="00F97390">
            <w:pPr>
              <w:spacing w:line="200" w:lineRule="exact"/>
              <w:rPr>
                <w:sz w:val="20"/>
                <w:szCs w:val="20"/>
              </w:rPr>
            </w:pPr>
          </w:p>
          <w:p w14:paraId="5CC6747F" w14:textId="77777777" w:rsidR="0042368D" w:rsidRDefault="0042368D" w:rsidP="00F97390">
            <w:pPr>
              <w:ind w:left="116" w:right="-20"/>
              <w:rPr>
                <w:sz w:val="18"/>
                <w:szCs w:val="18"/>
              </w:rPr>
            </w:pPr>
            <w:r>
              <w:rPr>
                <w:b/>
                <w:bCs/>
                <w:spacing w:val="-2"/>
                <w:sz w:val="18"/>
                <w:szCs w:val="18"/>
              </w:rPr>
              <w:t>W</w:t>
            </w:r>
            <w:r>
              <w:rPr>
                <w:b/>
                <w:bCs/>
                <w:sz w:val="18"/>
                <w:szCs w:val="18"/>
              </w:rPr>
              <w:t>/P</w:t>
            </w:r>
            <w:r>
              <w:rPr>
                <w:b/>
                <w:bCs/>
                <w:spacing w:val="1"/>
                <w:sz w:val="18"/>
                <w:szCs w:val="18"/>
              </w:rPr>
              <w:t xml:space="preserve"> </w:t>
            </w:r>
            <w:r>
              <w:rPr>
                <w:b/>
                <w:bCs/>
                <w:sz w:val="18"/>
                <w:szCs w:val="18"/>
              </w:rPr>
              <w:t>R</w:t>
            </w:r>
            <w:r>
              <w:rPr>
                <w:b/>
                <w:bCs/>
                <w:spacing w:val="-1"/>
                <w:sz w:val="18"/>
                <w:szCs w:val="18"/>
              </w:rPr>
              <w:t>e</w:t>
            </w:r>
            <w:r>
              <w:rPr>
                <w:b/>
                <w:bCs/>
                <w:sz w:val="18"/>
                <w:szCs w:val="18"/>
              </w:rPr>
              <w:t>f</w:t>
            </w:r>
          </w:p>
        </w:tc>
        <w:tc>
          <w:tcPr>
            <w:tcW w:w="3338" w:type="dxa"/>
            <w:tcBorders>
              <w:top w:val="single" w:sz="4" w:space="0" w:color="000000"/>
              <w:left w:val="single" w:sz="4" w:space="0" w:color="000000"/>
              <w:bottom w:val="single" w:sz="4" w:space="0" w:color="000000"/>
              <w:right w:val="single" w:sz="4" w:space="0" w:color="000000"/>
            </w:tcBorders>
          </w:tcPr>
          <w:p w14:paraId="447014D0" w14:textId="77777777" w:rsidR="0042368D" w:rsidRDefault="0042368D" w:rsidP="00F97390">
            <w:pPr>
              <w:spacing w:before="3" w:line="150" w:lineRule="exact"/>
              <w:rPr>
                <w:sz w:val="15"/>
                <w:szCs w:val="15"/>
              </w:rPr>
            </w:pPr>
          </w:p>
          <w:p w14:paraId="1ADB3FE3" w14:textId="77777777" w:rsidR="0042368D" w:rsidRDefault="0042368D" w:rsidP="00F97390">
            <w:pPr>
              <w:spacing w:line="200" w:lineRule="exact"/>
              <w:rPr>
                <w:sz w:val="20"/>
                <w:szCs w:val="20"/>
              </w:rPr>
            </w:pPr>
          </w:p>
          <w:p w14:paraId="682EB683" w14:textId="77777777" w:rsidR="0042368D" w:rsidRDefault="0042368D" w:rsidP="00F97390">
            <w:pPr>
              <w:spacing w:line="200" w:lineRule="exact"/>
              <w:rPr>
                <w:sz w:val="20"/>
                <w:szCs w:val="20"/>
              </w:rPr>
            </w:pPr>
          </w:p>
          <w:p w14:paraId="631CB1A1" w14:textId="77777777" w:rsidR="0042368D" w:rsidRDefault="0042368D" w:rsidP="00F97390">
            <w:pPr>
              <w:spacing w:line="200" w:lineRule="exact"/>
              <w:rPr>
                <w:sz w:val="20"/>
                <w:szCs w:val="20"/>
              </w:rPr>
            </w:pPr>
          </w:p>
          <w:p w14:paraId="5ED758DC" w14:textId="77777777" w:rsidR="0042368D" w:rsidRDefault="0042368D" w:rsidP="00F97390">
            <w:pPr>
              <w:spacing w:line="200" w:lineRule="exact"/>
              <w:rPr>
                <w:sz w:val="20"/>
                <w:szCs w:val="20"/>
              </w:rPr>
            </w:pPr>
          </w:p>
          <w:p w14:paraId="0678D4EE" w14:textId="77777777" w:rsidR="0042368D" w:rsidRDefault="0042368D" w:rsidP="00F97390">
            <w:pPr>
              <w:spacing w:line="200" w:lineRule="exact"/>
              <w:rPr>
                <w:sz w:val="20"/>
                <w:szCs w:val="20"/>
              </w:rPr>
            </w:pPr>
          </w:p>
          <w:p w14:paraId="648D5C3D" w14:textId="77777777" w:rsidR="0042368D" w:rsidRDefault="0042368D" w:rsidP="00F97390">
            <w:pPr>
              <w:ind w:left="644" w:right="-20"/>
              <w:rPr>
                <w:sz w:val="18"/>
                <w:szCs w:val="18"/>
              </w:rPr>
            </w:pPr>
            <w:r>
              <w:rPr>
                <w:b/>
                <w:bCs/>
                <w:sz w:val="18"/>
                <w:szCs w:val="18"/>
              </w:rPr>
              <w:t>C</w:t>
            </w:r>
            <w:r>
              <w:rPr>
                <w:b/>
                <w:bCs/>
                <w:spacing w:val="-1"/>
                <w:sz w:val="18"/>
                <w:szCs w:val="18"/>
              </w:rPr>
              <w:t>o</w:t>
            </w:r>
            <w:r>
              <w:rPr>
                <w:b/>
                <w:bCs/>
                <w:spacing w:val="-2"/>
                <w:sz w:val="18"/>
                <w:szCs w:val="18"/>
              </w:rPr>
              <w:t>n</w:t>
            </w:r>
            <w:r>
              <w:rPr>
                <w:b/>
                <w:bCs/>
                <w:sz w:val="18"/>
                <w:szCs w:val="18"/>
              </w:rPr>
              <w:t>t</w:t>
            </w:r>
            <w:r>
              <w:rPr>
                <w:b/>
                <w:bCs/>
                <w:spacing w:val="-1"/>
                <w:sz w:val="18"/>
                <w:szCs w:val="18"/>
              </w:rPr>
              <w:t>ro</w:t>
            </w:r>
            <w:r>
              <w:rPr>
                <w:b/>
                <w:bCs/>
                <w:sz w:val="18"/>
                <w:szCs w:val="18"/>
              </w:rPr>
              <w:t>l</w:t>
            </w:r>
            <w:r>
              <w:rPr>
                <w:b/>
                <w:bCs/>
                <w:spacing w:val="1"/>
                <w:sz w:val="18"/>
                <w:szCs w:val="18"/>
              </w:rPr>
              <w:t xml:space="preserve"> 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ti</w:t>
            </w:r>
            <w:r>
              <w:rPr>
                <w:b/>
                <w:bCs/>
                <w:spacing w:val="1"/>
                <w:sz w:val="18"/>
                <w:szCs w:val="18"/>
              </w:rPr>
              <w:t>o</w:t>
            </w:r>
            <w:r>
              <w:rPr>
                <w:b/>
                <w:bCs/>
                <w:sz w:val="18"/>
                <w:szCs w:val="18"/>
              </w:rPr>
              <w:t>n</w:t>
            </w:r>
          </w:p>
        </w:tc>
        <w:tc>
          <w:tcPr>
            <w:tcW w:w="1213" w:type="dxa"/>
            <w:tcBorders>
              <w:top w:val="single" w:sz="4" w:space="0" w:color="000000"/>
              <w:left w:val="single" w:sz="4" w:space="0" w:color="000000"/>
              <w:bottom w:val="single" w:sz="4" w:space="0" w:color="000000"/>
              <w:right w:val="single" w:sz="4" w:space="0" w:color="000000"/>
            </w:tcBorders>
          </w:tcPr>
          <w:p w14:paraId="1E188FB1" w14:textId="77777777" w:rsidR="0042368D" w:rsidRDefault="0042368D" w:rsidP="00F97390">
            <w:pPr>
              <w:spacing w:line="200" w:lineRule="exact"/>
              <w:rPr>
                <w:sz w:val="20"/>
                <w:szCs w:val="20"/>
              </w:rPr>
            </w:pPr>
          </w:p>
          <w:p w14:paraId="2F4D329F" w14:textId="77777777" w:rsidR="0042368D" w:rsidRDefault="0042368D" w:rsidP="00F97390">
            <w:pPr>
              <w:spacing w:line="200" w:lineRule="exact"/>
              <w:rPr>
                <w:sz w:val="20"/>
                <w:szCs w:val="20"/>
              </w:rPr>
            </w:pPr>
          </w:p>
          <w:p w14:paraId="3F9BD5E1" w14:textId="77777777" w:rsidR="0042368D" w:rsidRDefault="0042368D" w:rsidP="00F97390">
            <w:pPr>
              <w:spacing w:before="12" w:line="220" w:lineRule="exact"/>
            </w:pPr>
          </w:p>
          <w:p w14:paraId="5868E397" w14:textId="77777777" w:rsidR="0042368D" w:rsidRDefault="0042368D" w:rsidP="00F97390">
            <w:pPr>
              <w:spacing w:line="301" w:lineRule="auto"/>
              <w:ind w:left="102" w:right="83"/>
              <w:jc w:val="center"/>
              <w:rPr>
                <w:sz w:val="18"/>
                <w:szCs w:val="18"/>
              </w:rPr>
            </w:pPr>
            <w:r>
              <w:rPr>
                <w:b/>
                <w:bCs/>
                <w:sz w:val="18"/>
                <w:szCs w:val="18"/>
              </w:rPr>
              <w:t>R</w:t>
            </w:r>
            <w:r>
              <w:rPr>
                <w:b/>
                <w:bCs/>
                <w:spacing w:val="-1"/>
                <w:sz w:val="18"/>
                <w:szCs w:val="18"/>
              </w:rPr>
              <w:t>e</w:t>
            </w:r>
            <w:r>
              <w:rPr>
                <w:b/>
                <w:bCs/>
                <w:sz w:val="18"/>
                <w:szCs w:val="18"/>
              </w:rPr>
              <w:t>s</w:t>
            </w:r>
            <w:r>
              <w:rPr>
                <w:b/>
                <w:bCs/>
                <w:spacing w:val="-2"/>
                <w:sz w:val="18"/>
                <w:szCs w:val="18"/>
              </w:rPr>
              <w:t>u</w:t>
            </w:r>
            <w:r>
              <w:rPr>
                <w:b/>
                <w:bCs/>
                <w:sz w:val="18"/>
                <w:szCs w:val="18"/>
              </w:rPr>
              <w:t>lts</w:t>
            </w:r>
            <w:r>
              <w:rPr>
                <w:b/>
                <w:bCs/>
                <w:spacing w:val="3"/>
                <w:sz w:val="18"/>
                <w:szCs w:val="18"/>
              </w:rPr>
              <w:t xml:space="preserve"> </w:t>
            </w:r>
            <w:r>
              <w:rPr>
                <w:b/>
                <w:bCs/>
                <w:spacing w:val="-1"/>
                <w:sz w:val="18"/>
                <w:szCs w:val="18"/>
              </w:rPr>
              <w:t>o</w:t>
            </w:r>
            <w:r>
              <w:rPr>
                <w:b/>
                <w:bCs/>
                <w:sz w:val="18"/>
                <w:szCs w:val="18"/>
              </w:rPr>
              <w:t>f</w:t>
            </w:r>
            <w:r>
              <w:rPr>
                <w:b/>
                <w:bCs/>
                <w:spacing w:val="1"/>
                <w:sz w:val="18"/>
                <w:szCs w:val="18"/>
              </w:rPr>
              <w:t xml:space="preserve"> </w:t>
            </w:r>
            <w:r>
              <w:rPr>
                <w:b/>
                <w:bCs/>
                <w:sz w:val="18"/>
                <w:szCs w:val="18"/>
              </w:rPr>
              <w:t>t</w:t>
            </w:r>
            <w:r>
              <w:rPr>
                <w:b/>
                <w:bCs/>
                <w:spacing w:val="-1"/>
                <w:sz w:val="18"/>
                <w:szCs w:val="18"/>
              </w:rPr>
              <w:t>e</w:t>
            </w:r>
            <w:r>
              <w:rPr>
                <w:b/>
                <w:bCs/>
                <w:sz w:val="18"/>
                <w:szCs w:val="18"/>
              </w:rPr>
              <w:t>st(s)</w:t>
            </w:r>
            <w:r>
              <w:rPr>
                <w:b/>
                <w:bCs/>
                <w:spacing w:val="1"/>
                <w:sz w:val="18"/>
                <w:szCs w:val="18"/>
              </w:rPr>
              <w:t xml:space="preserve"> </w:t>
            </w:r>
            <w:r>
              <w:rPr>
                <w:b/>
                <w:bCs/>
                <w:spacing w:val="-1"/>
                <w:sz w:val="18"/>
                <w:szCs w:val="18"/>
              </w:rPr>
              <w:t>o</w:t>
            </w:r>
            <w:r>
              <w:rPr>
                <w:b/>
                <w:bCs/>
                <w:sz w:val="18"/>
                <w:szCs w:val="18"/>
              </w:rPr>
              <w:t xml:space="preserve">f </w:t>
            </w:r>
            <w:r>
              <w:rPr>
                <w:b/>
                <w:bCs/>
                <w:spacing w:val="-1"/>
                <w:sz w:val="18"/>
                <w:szCs w:val="18"/>
              </w:rPr>
              <w:t>o</w:t>
            </w:r>
            <w:r>
              <w:rPr>
                <w:b/>
                <w:bCs/>
                <w:spacing w:val="1"/>
                <w:sz w:val="18"/>
                <w:szCs w:val="18"/>
              </w:rPr>
              <w:t>p</w:t>
            </w:r>
            <w:r>
              <w:rPr>
                <w:b/>
                <w:bCs/>
                <w:spacing w:val="-1"/>
                <w:sz w:val="18"/>
                <w:szCs w:val="18"/>
              </w:rPr>
              <w:t>era</w:t>
            </w:r>
            <w:r>
              <w:rPr>
                <w:b/>
                <w:bCs/>
                <w:sz w:val="18"/>
                <w:szCs w:val="18"/>
              </w:rPr>
              <w:t>t</w:t>
            </w:r>
            <w:r>
              <w:rPr>
                <w:b/>
                <w:bCs/>
                <w:spacing w:val="3"/>
                <w:sz w:val="18"/>
                <w:szCs w:val="18"/>
              </w:rPr>
              <w:t>i</w:t>
            </w:r>
            <w:r>
              <w:rPr>
                <w:b/>
                <w:bCs/>
                <w:spacing w:val="-2"/>
                <w:sz w:val="18"/>
                <w:szCs w:val="18"/>
              </w:rPr>
              <w:t>n</w:t>
            </w:r>
            <w:r>
              <w:rPr>
                <w:b/>
                <w:bCs/>
                <w:sz w:val="18"/>
                <w:szCs w:val="18"/>
              </w:rPr>
              <w:t xml:space="preserve">g </w:t>
            </w:r>
            <w:r>
              <w:rPr>
                <w:b/>
                <w:bCs/>
                <w:spacing w:val="-1"/>
                <w:sz w:val="18"/>
                <w:szCs w:val="18"/>
              </w:rPr>
              <w:t>e</w:t>
            </w:r>
            <w:r>
              <w:rPr>
                <w:b/>
                <w:bCs/>
                <w:sz w:val="18"/>
                <w:szCs w:val="18"/>
              </w:rPr>
              <w:t>ff</w:t>
            </w:r>
            <w:r>
              <w:rPr>
                <w:b/>
                <w:bCs/>
                <w:spacing w:val="-1"/>
                <w:sz w:val="18"/>
                <w:szCs w:val="18"/>
              </w:rPr>
              <w:t>ec</w:t>
            </w:r>
            <w:r>
              <w:rPr>
                <w:b/>
                <w:bCs/>
                <w:sz w:val="18"/>
                <w:szCs w:val="18"/>
              </w:rPr>
              <w:t>ti</w:t>
            </w:r>
            <w:r>
              <w:rPr>
                <w:b/>
                <w:bCs/>
                <w:spacing w:val="-1"/>
                <w:sz w:val="18"/>
                <w:szCs w:val="18"/>
              </w:rPr>
              <w:t>v</w:t>
            </w:r>
            <w:r>
              <w:rPr>
                <w:b/>
                <w:bCs/>
                <w:spacing w:val="2"/>
                <w:sz w:val="18"/>
                <w:szCs w:val="18"/>
              </w:rPr>
              <w:t>e</w:t>
            </w:r>
            <w:r>
              <w:rPr>
                <w:b/>
                <w:bCs/>
                <w:spacing w:val="-2"/>
                <w:sz w:val="18"/>
                <w:szCs w:val="18"/>
              </w:rPr>
              <w:t>n</w:t>
            </w:r>
            <w:r>
              <w:rPr>
                <w:b/>
                <w:bCs/>
                <w:spacing w:val="2"/>
                <w:sz w:val="18"/>
                <w:szCs w:val="18"/>
              </w:rPr>
              <w:t>e</w:t>
            </w:r>
            <w:r>
              <w:rPr>
                <w:b/>
                <w:bCs/>
                <w:sz w:val="18"/>
                <w:szCs w:val="18"/>
              </w:rPr>
              <w:t>ss</w:t>
            </w:r>
          </w:p>
        </w:tc>
        <w:tc>
          <w:tcPr>
            <w:tcW w:w="1063" w:type="dxa"/>
            <w:tcBorders>
              <w:top w:val="single" w:sz="4" w:space="0" w:color="000000"/>
              <w:left w:val="single" w:sz="4" w:space="0" w:color="000000"/>
              <w:bottom w:val="single" w:sz="4" w:space="0" w:color="000000"/>
              <w:right w:val="single" w:sz="4" w:space="0" w:color="000000"/>
            </w:tcBorders>
          </w:tcPr>
          <w:p w14:paraId="4AF0034D" w14:textId="77777777" w:rsidR="0042368D" w:rsidRDefault="0042368D" w:rsidP="00F97390">
            <w:pPr>
              <w:spacing w:line="200" w:lineRule="exact"/>
              <w:rPr>
                <w:sz w:val="20"/>
                <w:szCs w:val="20"/>
              </w:rPr>
            </w:pPr>
          </w:p>
          <w:p w14:paraId="74BB8CF1" w14:textId="77777777" w:rsidR="0042368D" w:rsidRDefault="0042368D" w:rsidP="00F97390">
            <w:pPr>
              <w:spacing w:line="200" w:lineRule="exact"/>
              <w:rPr>
                <w:sz w:val="20"/>
                <w:szCs w:val="20"/>
              </w:rPr>
            </w:pPr>
          </w:p>
          <w:p w14:paraId="5A1AEFF0" w14:textId="77777777" w:rsidR="0042368D" w:rsidRDefault="0042368D" w:rsidP="00F97390">
            <w:pPr>
              <w:spacing w:line="200" w:lineRule="exact"/>
              <w:rPr>
                <w:sz w:val="20"/>
                <w:szCs w:val="20"/>
              </w:rPr>
            </w:pPr>
          </w:p>
          <w:p w14:paraId="5673A3BA" w14:textId="77777777" w:rsidR="0042368D" w:rsidRDefault="0042368D" w:rsidP="00F97390">
            <w:pPr>
              <w:spacing w:before="12" w:line="280" w:lineRule="exact"/>
              <w:rPr>
                <w:sz w:val="28"/>
                <w:szCs w:val="28"/>
              </w:rPr>
            </w:pPr>
          </w:p>
          <w:p w14:paraId="2D5CF2BC" w14:textId="77777777" w:rsidR="0042368D" w:rsidRDefault="0042368D" w:rsidP="00F97390">
            <w:pPr>
              <w:spacing w:line="303" w:lineRule="auto"/>
              <w:ind w:left="193" w:right="145" w:firstLine="14"/>
              <w:rPr>
                <w:sz w:val="18"/>
                <w:szCs w:val="18"/>
              </w:rPr>
            </w:pPr>
            <w:r>
              <w:rPr>
                <w:b/>
                <w:bCs/>
                <w:sz w:val="18"/>
                <w:szCs w:val="18"/>
              </w:rPr>
              <w:t>D</w:t>
            </w:r>
            <w:r>
              <w:rPr>
                <w:b/>
                <w:bCs/>
                <w:spacing w:val="-1"/>
                <w:sz w:val="18"/>
                <w:szCs w:val="18"/>
              </w:rPr>
              <w:t>o</w:t>
            </w:r>
            <w:r>
              <w:rPr>
                <w:b/>
                <w:bCs/>
                <w:spacing w:val="1"/>
                <w:sz w:val="18"/>
                <w:szCs w:val="18"/>
              </w:rPr>
              <w:t>n</w:t>
            </w:r>
            <w:r>
              <w:rPr>
                <w:b/>
                <w:bCs/>
                <w:sz w:val="18"/>
                <w:szCs w:val="18"/>
              </w:rPr>
              <w:t xml:space="preserve">e </w:t>
            </w:r>
            <w:r>
              <w:rPr>
                <w:b/>
                <w:bCs/>
                <w:spacing w:val="-2"/>
                <w:sz w:val="18"/>
                <w:szCs w:val="18"/>
              </w:rPr>
              <w:t xml:space="preserve">by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1"/>
                <w:sz w:val="18"/>
                <w:szCs w:val="18"/>
              </w:rPr>
              <w:t>d</w:t>
            </w:r>
            <w:r>
              <w:rPr>
                <w:b/>
                <w:bCs/>
                <w:spacing w:val="-1"/>
                <w:sz w:val="18"/>
                <w:szCs w:val="18"/>
              </w:rPr>
              <w:t>a</w:t>
            </w:r>
            <w:r>
              <w:rPr>
                <w:b/>
                <w:bCs/>
                <w:sz w:val="18"/>
                <w:szCs w:val="18"/>
              </w:rPr>
              <w:t>te</w:t>
            </w:r>
          </w:p>
        </w:tc>
        <w:tc>
          <w:tcPr>
            <w:tcW w:w="780" w:type="dxa"/>
            <w:tcBorders>
              <w:top w:val="single" w:sz="4" w:space="0" w:color="000000"/>
              <w:left w:val="single" w:sz="4" w:space="0" w:color="000000"/>
              <w:bottom w:val="single" w:sz="4" w:space="0" w:color="000000"/>
              <w:right w:val="single" w:sz="4" w:space="0" w:color="000000"/>
            </w:tcBorders>
          </w:tcPr>
          <w:p w14:paraId="61D8D9CE" w14:textId="77777777" w:rsidR="0042368D" w:rsidRDefault="0042368D" w:rsidP="00F97390">
            <w:pPr>
              <w:spacing w:line="200" w:lineRule="exact"/>
              <w:rPr>
                <w:sz w:val="20"/>
                <w:szCs w:val="20"/>
              </w:rPr>
            </w:pPr>
          </w:p>
          <w:p w14:paraId="5728A6ED" w14:textId="77777777" w:rsidR="0042368D" w:rsidRDefault="0042368D" w:rsidP="00F97390">
            <w:pPr>
              <w:spacing w:line="200" w:lineRule="exact"/>
              <w:rPr>
                <w:sz w:val="20"/>
                <w:szCs w:val="20"/>
              </w:rPr>
            </w:pPr>
          </w:p>
          <w:p w14:paraId="4D98ABF0" w14:textId="77777777" w:rsidR="0042368D" w:rsidRDefault="0042368D" w:rsidP="00F97390">
            <w:pPr>
              <w:spacing w:line="200" w:lineRule="exact"/>
              <w:rPr>
                <w:sz w:val="20"/>
                <w:szCs w:val="20"/>
              </w:rPr>
            </w:pPr>
          </w:p>
          <w:p w14:paraId="7508E7DB" w14:textId="77777777" w:rsidR="0042368D" w:rsidRDefault="0042368D" w:rsidP="00F97390">
            <w:pPr>
              <w:spacing w:before="12" w:line="280" w:lineRule="exact"/>
              <w:rPr>
                <w:sz w:val="28"/>
                <w:szCs w:val="28"/>
              </w:rPr>
            </w:pPr>
          </w:p>
          <w:p w14:paraId="71B3BC4F" w14:textId="77777777" w:rsidR="0042368D" w:rsidRDefault="0042368D" w:rsidP="00F97390">
            <w:pPr>
              <w:spacing w:line="303" w:lineRule="auto"/>
              <w:ind w:left="248" w:right="165" w:hanging="34"/>
              <w:rPr>
                <w:sz w:val="18"/>
                <w:szCs w:val="18"/>
              </w:rPr>
            </w:pPr>
            <w:r>
              <w:rPr>
                <w:b/>
                <w:bCs/>
                <w:spacing w:val="-2"/>
                <w:sz w:val="18"/>
                <w:szCs w:val="18"/>
              </w:rPr>
              <w:t>W</w:t>
            </w:r>
            <w:r>
              <w:rPr>
                <w:b/>
                <w:bCs/>
                <w:sz w:val="18"/>
                <w:szCs w:val="18"/>
              </w:rPr>
              <w:t>/P R</w:t>
            </w:r>
            <w:r>
              <w:rPr>
                <w:b/>
                <w:bCs/>
                <w:spacing w:val="-1"/>
                <w:sz w:val="18"/>
                <w:szCs w:val="18"/>
              </w:rPr>
              <w:t>ef</w:t>
            </w:r>
          </w:p>
        </w:tc>
      </w:tr>
      <w:tr w:rsidR="0042368D" w:rsidRPr="00BD0EF2" w14:paraId="7C43D2F9" w14:textId="77777777" w:rsidTr="00F97390">
        <w:trPr>
          <w:trHeight w:hRule="exact" w:val="1417"/>
        </w:trPr>
        <w:tc>
          <w:tcPr>
            <w:tcW w:w="1253" w:type="dxa"/>
            <w:tcBorders>
              <w:top w:val="single" w:sz="4" w:space="0" w:color="000000"/>
              <w:left w:val="single" w:sz="4" w:space="0" w:color="000000"/>
              <w:bottom w:val="single" w:sz="4" w:space="0" w:color="000000"/>
              <w:right w:val="single" w:sz="4" w:space="0" w:color="000000"/>
            </w:tcBorders>
          </w:tcPr>
          <w:p w14:paraId="5D291D94" w14:textId="77777777" w:rsidR="0042368D" w:rsidRPr="00BD0EF2" w:rsidRDefault="0042368D" w:rsidP="00F97390">
            <w:pPr>
              <w:pStyle w:val="BodyText3"/>
              <w:spacing w:before="120" w:after="120"/>
              <w:jc w:val="center"/>
              <w:rPr>
                <w:sz w:val="18"/>
                <w:szCs w:val="18"/>
              </w:rPr>
            </w:pPr>
            <w:r w:rsidRPr="00BD0EF2">
              <w:rPr>
                <w:sz w:val="18"/>
                <w:szCs w:val="18"/>
              </w:rPr>
              <w:t>1</w:t>
            </w:r>
          </w:p>
        </w:tc>
        <w:tc>
          <w:tcPr>
            <w:tcW w:w="540" w:type="dxa"/>
            <w:tcBorders>
              <w:top w:val="single" w:sz="4" w:space="0" w:color="000000"/>
              <w:left w:val="single" w:sz="4" w:space="0" w:color="000000"/>
              <w:bottom w:val="single" w:sz="4" w:space="0" w:color="000000"/>
              <w:right w:val="single" w:sz="4" w:space="0" w:color="000000"/>
            </w:tcBorders>
          </w:tcPr>
          <w:p w14:paraId="0D60ABF5" w14:textId="77777777" w:rsidR="0042368D" w:rsidRPr="00BD0EF2" w:rsidRDefault="0042368D" w:rsidP="00F97390">
            <w:pPr>
              <w:spacing w:before="7" w:line="160" w:lineRule="exact"/>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50B18CC7" w14:textId="77777777" w:rsidR="0042368D" w:rsidRPr="00BD0EF2" w:rsidRDefault="0042368D" w:rsidP="00F97390">
            <w:pPr>
              <w:rPr>
                <w:bCs/>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46727FAA" w14:textId="77777777" w:rsidR="0042368D" w:rsidRPr="00BD0EF2" w:rsidRDefault="0042368D" w:rsidP="00F97390">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319880A3" w14:textId="77777777" w:rsidR="0042368D" w:rsidRPr="00BD0EF2" w:rsidRDefault="0042368D" w:rsidP="00F97390">
            <w:pPr>
              <w:rPr>
                <w:bCs/>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428BCBED" w14:textId="77777777" w:rsidR="0042368D" w:rsidRPr="00BD0EF2" w:rsidRDefault="0042368D" w:rsidP="00F97390">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081B0D5B" w14:textId="77777777" w:rsidR="0042368D" w:rsidRPr="00BD0EF2" w:rsidRDefault="0042368D" w:rsidP="00F97390"/>
        </w:tc>
        <w:tc>
          <w:tcPr>
            <w:tcW w:w="331" w:type="dxa"/>
            <w:tcBorders>
              <w:top w:val="single" w:sz="4" w:space="0" w:color="000000"/>
              <w:left w:val="single" w:sz="4" w:space="0" w:color="000000"/>
              <w:bottom w:val="single" w:sz="4" w:space="0" w:color="000000"/>
              <w:right w:val="single" w:sz="4" w:space="0" w:color="000000"/>
            </w:tcBorders>
          </w:tcPr>
          <w:p w14:paraId="10DC0FC3" w14:textId="77777777" w:rsidR="0042368D" w:rsidRPr="00BD0EF2" w:rsidRDefault="0042368D" w:rsidP="00F97390"/>
        </w:tc>
        <w:tc>
          <w:tcPr>
            <w:tcW w:w="329" w:type="dxa"/>
            <w:tcBorders>
              <w:top w:val="single" w:sz="4" w:space="0" w:color="000000"/>
              <w:left w:val="single" w:sz="4" w:space="0" w:color="000000"/>
              <w:bottom w:val="single" w:sz="4" w:space="0" w:color="000000"/>
              <w:right w:val="single" w:sz="4" w:space="0" w:color="000000"/>
            </w:tcBorders>
          </w:tcPr>
          <w:p w14:paraId="65556C0D" w14:textId="77777777" w:rsidR="0042368D" w:rsidRPr="00BD0EF2" w:rsidRDefault="0042368D" w:rsidP="00F97390"/>
        </w:tc>
        <w:tc>
          <w:tcPr>
            <w:tcW w:w="1260" w:type="dxa"/>
            <w:tcBorders>
              <w:top w:val="single" w:sz="4" w:space="0" w:color="000000"/>
              <w:left w:val="single" w:sz="4" w:space="0" w:color="000000"/>
              <w:bottom w:val="single" w:sz="4" w:space="0" w:color="000000"/>
              <w:right w:val="single" w:sz="4" w:space="0" w:color="000000"/>
            </w:tcBorders>
          </w:tcPr>
          <w:p w14:paraId="191F221D" w14:textId="77777777" w:rsidR="0042368D" w:rsidRPr="00BD0EF2" w:rsidRDefault="0042368D" w:rsidP="00F97390">
            <w:pPr>
              <w:spacing w:before="7" w:line="160" w:lineRule="exact"/>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5A6C81E2" w14:textId="77777777" w:rsidR="0042368D" w:rsidRPr="00BD0EF2" w:rsidRDefault="0042368D" w:rsidP="00F97390"/>
        </w:tc>
        <w:tc>
          <w:tcPr>
            <w:tcW w:w="3338" w:type="dxa"/>
            <w:tcBorders>
              <w:top w:val="single" w:sz="4" w:space="0" w:color="000000"/>
              <w:left w:val="single" w:sz="4" w:space="0" w:color="000000"/>
              <w:bottom w:val="single" w:sz="4" w:space="0" w:color="000000"/>
              <w:right w:val="single" w:sz="4" w:space="0" w:color="000000"/>
            </w:tcBorders>
          </w:tcPr>
          <w:p w14:paraId="0FBFA2A8" w14:textId="77777777" w:rsidR="0042368D" w:rsidRPr="00BD0EF2" w:rsidRDefault="0042368D" w:rsidP="00F97390">
            <w:pPr>
              <w:pStyle w:val="BodyText3"/>
              <w:spacing w:before="120" w:after="120"/>
              <w:rPr>
                <w:bCs/>
                <w:sz w:val="18"/>
                <w:szCs w:val="18"/>
                <w:lang w:val="en-GB"/>
              </w:rPr>
            </w:pPr>
            <w:r w:rsidRPr="00BD0EF2">
              <w:rPr>
                <w:bCs/>
                <w:sz w:val="18"/>
                <w:szCs w:val="18"/>
                <w:lang w:val="en-GB"/>
              </w:rPr>
              <w:t xml:space="preserve">Management review  of the economical balance sheet, including a high level analytical review compared to the previous reporting period and assessing/validating fluctuations from one period to another </w:t>
            </w:r>
          </w:p>
        </w:tc>
        <w:tc>
          <w:tcPr>
            <w:tcW w:w="1213" w:type="dxa"/>
            <w:tcBorders>
              <w:top w:val="single" w:sz="4" w:space="0" w:color="000000"/>
              <w:left w:val="single" w:sz="4" w:space="0" w:color="000000"/>
              <w:bottom w:val="single" w:sz="4" w:space="0" w:color="000000"/>
              <w:right w:val="single" w:sz="4" w:space="0" w:color="000000"/>
            </w:tcBorders>
          </w:tcPr>
          <w:p w14:paraId="45CFBB8E" w14:textId="77777777" w:rsidR="0042368D" w:rsidRPr="00BD0EF2" w:rsidRDefault="0042368D" w:rsidP="00F97390">
            <w:pPr>
              <w:spacing w:before="7" w:line="160" w:lineRule="exact"/>
              <w:rPr>
                <w:sz w:val="16"/>
                <w:szCs w:val="16"/>
              </w:rPr>
            </w:pPr>
          </w:p>
        </w:tc>
        <w:tc>
          <w:tcPr>
            <w:tcW w:w="1063" w:type="dxa"/>
            <w:tcBorders>
              <w:top w:val="single" w:sz="4" w:space="0" w:color="000000"/>
              <w:left w:val="single" w:sz="4" w:space="0" w:color="000000"/>
              <w:bottom w:val="single" w:sz="4" w:space="0" w:color="000000"/>
              <w:right w:val="single" w:sz="4" w:space="0" w:color="000000"/>
            </w:tcBorders>
          </w:tcPr>
          <w:p w14:paraId="4D5B1D16" w14:textId="77777777" w:rsidR="0042368D" w:rsidRPr="00BD0EF2" w:rsidRDefault="0042368D" w:rsidP="00F97390"/>
        </w:tc>
        <w:tc>
          <w:tcPr>
            <w:tcW w:w="780" w:type="dxa"/>
            <w:tcBorders>
              <w:top w:val="single" w:sz="4" w:space="0" w:color="000000"/>
              <w:left w:val="single" w:sz="4" w:space="0" w:color="000000"/>
              <w:bottom w:val="single" w:sz="4" w:space="0" w:color="000000"/>
              <w:right w:val="single" w:sz="4" w:space="0" w:color="000000"/>
            </w:tcBorders>
          </w:tcPr>
          <w:p w14:paraId="3B77C16A" w14:textId="77777777" w:rsidR="0042368D" w:rsidRPr="00BD0EF2" w:rsidRDefault="0042368D" w:rsidP="00F97390"/>
        </w:tc>
      </w:tr>
      <w:tr w:rsidR="00045E69" w:rsidRPr="00BD0EF2" w14:paraId="1F7173EE" w14:textId="77777777" w:rsidTr="006974AE">
        <w:trPr>
          <w:trHeight w:hRule="exact" w:val="3169"/>
        </w:trPr>
        <w:tc>
          <w:tcPr>
            <w:tcW w:w="1253" w:type="dxa"/>
            <w:tcBorders>
              <w:top w:val="single" w:sz="4" w:space="0" w:color="000000"/>
              <w:left w:val="single" w:sz="4" w:space="0" w:color="000000"/>
              <w:bottom w:val="single" w:sz="4" w:space="0" w:color="000000"/>
              <w:right w:val="single" w:sz="4" w:space="0" w:color="000000"/>
            </w:tcBorders>
          </w:tcPr>
          <w:p w14:paraId="5101A7FF" w14:textId="77777777" w:rsidR="00045E69" w:rsidRPr="00BD0EF2" w:rsidRDefault="00045E69" w:rsidP="00F97390">
            <w:pPr>
              <w:pStyle w:val="BodyText3"/>
              <w:spacing w:before="120" w:after="120"/>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4796C01F" w14:textId="77777777" w:rsidR="00045E69" w:rsidRPr="00BD0EF2" w:rsidRDefault="00045E69" w:rsidP="00F97390">
            <w:pPr>
              <w:spacing w:before="7" w:line="160" w:lineRule="exact"/>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7D5540F8" w14:textId="77777777" w:rsidR="00045E69" w:rsidRPr="00BD0EF2" w:rsidRDefault="00045E69" w:rsidP="00F97390">
            <w:pPr>
              <w:rPr>
                <w:bCs/>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4AAA76E2" w14:textId="77777777" w:rsidR="00045E69" w:rsidRPr="00BD0EF2" w:rsidRDefault="00045E69" w:rsidP="00F97390">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089FA1A2" w14:textId="77777777" w:rsidR="00045E69" w:rsidRPr="00BD0EF2" w:rsidRDefault="00045E69" w:rsidP="00F97390">
            <w:pPr>
              <w:rPr>
                <w:bCs/>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6F087C0C" w14:textId="77777777" w:rsidR="00045E69" w:rsidRPr="00BD0EF2" w:rsidRDefault="00045E69" w:rsidP="00F97390">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338BBB0B" w14:textId="77777777" w:rsidR="00045E69" w:rsidRPr="00BD0EF2" w:rsidRDefault="00045E69" w:rsidP="00F97390"/>
        </w:tc>
        <w:tc>
          <w:tcPr>
            <w:tcW w:w="331" w:type="dxa"/>
            <w:tcBorders>
              <w:top w:val="single" w:sz="4" w:space="0" w:color="000000"/>
              <w:left w:val="single" w:sz="4" w:space="0" w:color="000000"/>
              <w:bottom w:val="single" w:sz="4" w:space="0" w:color="000000"/>
              <w:right w:val="single" w:sz="4" w:space="0" w:color="000000"/>
            </w:tcBorders>
          </w:tcPr>
          <w:p w14:paraId="12935104" w14:textId="77777777" w:rsidR="00045E69" w:rsidRPr="00BD0EF2" w:rsidRDefault="00045E69" w:rsidP="00F97390"/>
        </w:tc>
        <w:tc>
          <w:tcPr>
            <w:tcW w:w="329" w:type="dxa"/>
            <w:tcBorders>
              <w:top w:val="single" w:sz="4" w:space="0" w:color="000000"/>
              <w:left w:val="single" w:sz="4" w:space="0" w:color="000000"/>
              <w:bottom w:val="single" w:sz="4" w:space="0" w:color="000000"/>
              <w:right w:val="single" w:sz="4" w:space="0" w:color="000000"/>
            </w:tcBorders>
          </w:tcPr>
          <w:p w14:paraId="3897CCE3" w14:textId="77777777" w:rsidR="00045E69" w:rsidRPr="00BD0EF2" w:rsidRDefault="00045E69" w:rsidP="00F97390"/>
        </w:tc>
        <w:tc>
          <w:tcPr>
            <w:tcW w:w="1260" w:type="dxa"/>
            <w:tcBorders>
              <w:top w:val="single" w:sz="4" w:space="0" w:color="000000"/>
              <w:left w:val="single" w:sz="4" w:space="0" w:color="000000"/>
              <w:bottom w:val="single" w:sz="4" w:space="0" w:color="000000"/>
              <w:right w:val="single" w:sz="4" w:space="0" w:color="000000"/>
            </w:tcBorders>
          </w:tcPr>
          <w:p w14:paraId="329BF06A" w14:textId="77777777" w:rsidR="00045E69" w:rsidRPr="00BD0EF2" w:rsidRDefault="00045E69" w:rsidP="00F97390">
            <w:pPr>
              <w:spacing w:before="7" w:line="160" w:lineRule="exact"/>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2362E515" w14:textId="77777777" w:rsidR="00045E69" w:rsidRPr="00BD0EF2" w:rsidRDefault="00045E69" w:rsidP="00F97390"/>
        </w:tc>
        <w:tc>
          <w:tcPr>
            <w:tcW w:w="3338" w:type="dxa"/>
            <w:tcBorders>
              <w:top w:val="single" w:sz="4" w:space="0" w:color="000000"/>
              <w:left w:val="single" w:sz="4" w:space="0" w:color="000000"/>
              <w:bottom w:val="single" w:sz="4" w:space="0" w:color="000000"/>
              <w:right w:val="single" w:sz="4" w:space="0" w:color="000000"/>
            </w:tcBorders>
          </w:tcPr>
          <w:p w14:paraId="23FB108D" w14:textId="77777777" w:rsidR="00045E69" w:rsidRPr="00045E69" w:rsidRDefault="00045E69" w:rsidP="00045E69">
            <w:pPr>
              <w:pStyle w:val="BodyText3"/>
              <w:spacing w:before="120" w:after="120"/>
              <w:rPr>
                <w:bCs/>
                <w:sz w:val="18"/>
                <w:szCs w:val="18"/>
                <w:lang w:val="en-GB"/>
              </w:rPr>
            </w:pPr>
            <w:r w:rsidRPr="00045E69">
              <w:rPr>
                <w:bCs/>
                <w:sz w:val="18"/>
                <w:szCs w:val="18"/>
                <w:lang w:val="en-GB"/>
              </w:rPr>
              <w:t>For Underwriting, Technical provisions, Reinsurance, Investments and Financial statements closing :</w:t>
            </w:r>
          </w:p>
          <w:p w14:paraId="71B6B45B" w14:textId="77777777" w:rsidR="00045E69" w:rsidRPr="00045E69" w:rsidRDefault="00045E69" w:rsidP="00045E69">
            <w:pPr>
              <w:pStyle w:val="BodyText3"/>
              <w:spacing w:before="120" w:after="120"/>
              <w:rPr>
                <w:bCs/>
                <w:sz w:val="18"/>
                <w:szCs w:val="18"/>
                <w:lang w:val="en-GB"/>
              </w:rPr>
            </w:pPr>
            <w:r w:rsidRPr="00045E69">
              <w:rPr>
                <w:bCs/>
                <w:sz w:val="18"/>
                <w:szCs w:val="18"/>
                <w:lang w:val="en-GB"/>
              </w:rPr>
              <w:t>- Obtain an understanding of policies and procedures in place</w:t>
            </w:r>
          </w:p>
          <w:p w14:paraId="0931FDAC" w14:textId="77777777" w:rsidR="00045E69" w:rsidRPr="00045E69" w:rsidRDefault="00045E69" w:rsidP="00045E69">
            <w:pPr>
              <w:pStyle w:val="BodyText3"/>
              <w:spacing w:before="120" w:after="120"/>
              <w:rPr>
                <w:bCs/>
                <w:sz w:val="18"/>
                <w:szCs w:val="18"/>
                <w:lang w:val="en-GB"/>
              </w:rPr>
            </w:pPr>
            <w:r w:rsidRPr="00045E69">
              <w:rPr>
                <w:bCs/>
                <w:sz w:val="18"/>
                <w:szCs w:val="18"/>
                <w:lang w:val="en-GB"/>
              </w:rPr>
              <w:t>- Identify controls, understand their design and determine which are relevant/key</w:t>
            </w:r>
          </w:p>
          <w:p w14:paraId="5DDD77A4" w14:textId="77777777" w:rsidR="00045E69" w:rsidRPr="00045E69" w:rsidRDefault="00045E69" w:rsidP="00045E69">
            <w:pPr>
              <w:pStyle w:val="BodyText3"/>
              <w:spacing w:before="120" w:after="120"/>
              <w:rPr>
                <w:bCs/>
                <w:sz w:val="18"/>
                <w:szCs w:val="18"/>
                <w:lang w:val="en-GB"/>
              </w:rPr>
            </w:pPr>
            <w:r w:rsidRPr="00045E69">
              <w:rPr>
                <w:bCs/>
                <w:sz w:val="18"/>
                <w:szCs w:val="18"/>
                <w:lang w:val="en-GB"/>
              </w:rPr>
              <w:t>- Test the efficiency of relevant/key controls</w:t>
            </w:r>
          </w:p>
          <w:p w14:paraId="1443A559" w14:textId="77777777" w:rsidR="00045E69" w:rsidRPr="00BD0EF2" w:rsidRDefault="00045E69" w:rsidP="00045E69">
            <w:pPr>
              <w:pStyle w:val="BodyText3"/>
              <w:spacing w:before="120" w:after="120"/>
              <w:rPr>
                <w:bCs/>
                <w:sz w:val="18"/>
                <w:szCs w:val="18"/>
                <w:lang w:val="en-GB"/>
              </w:rPr>
            </w:pPr>
            <w:r w:rsidRPr="00045E69">
              <w:rPr>
                <w:bCs/>
                <w:sz w:val="18"/>
                <w:szCs w:val="18"/>
                <w:lang w:val="en-GB"/>
              </w:rPr>
              <w:t>- Conclude on design and effectiveness of relevant/key controls</w:t>
            </w:r>
          </w:p>
        </w:tc>
        <w:tc>
          <w:tcPr>
            <w:tcW w:w="1213" w:type="dxa"/>
            <w:tcBorders>
              <w:top w:val="single" w:sz="4" w:space="0" w:color="000000"/>
              <w:left w:val="single" w:sz="4" w:space="0" w:color="000000"/>
              <w:bottom w:val="single" w:sz="4" w:space="0" w:color="000000"/>
              <w:right w:val="single" w:sz="4" w:space="0" w:color="000000"/>
            </w:tcBorders>
          </w:tcPr>
          <w:p w14:paraId="022B07D9" w14:textId="77777777" w:rsidR="00045E69" w:rsidRPr="00BD0EF2" w:rsidRDefault="00045E69" w:rsidP="00F97390">
            <w:pPr>
              <w:spacing w:before="7" w:line="160" w:lineRule="exact"/>
              <w:rPr>
                <w:sz w:val="16"/>
                <w:szCs w:val="16"/>
              </w:rPr>
            </w:pPr>
          </w:p>
        </w:tc>
        <w:tc>
          <w:tcPr>
            <w:tcW w:w="1063" w:type="dxa"/>
            <w:tcBorders>
              <w:top w:val="single" w:sz="4" w:space="0" w:color="000000"/>
              <w:left w:val="single" w:sz="4" w:space="0" w:color="000000"/>
              <w:bottom w:val="single" w:sz="4" w:space="0" w:color="000000"/>
              <w:right w:val="single" w:sz="4" w:space="0" w:color="000000"/>
            </w:tcBorders>
          </w:tcPr>
          <w:p w14:paraId="47D8D25E" w14:textId="77777777" w:rsidR="00045E69" w:rsidRPr="00BD0EF2" w:rsidRDefault="00045E69" w:rsidP="00F97390"/>
        </w:tc>
        <w:tc>
          <w:tcPr>
            <w:tcW w:w="780" w:type="dxa"/>
            <w:tcBorders>
              <w:top w:val="single" w:sz="4" w:space="0" w:color="000000"/>
              <w:left w:val="single" w:sz="4" w:space="0" w:color="000000"/>
              <w:bottom w:val="single" w:sz="4" w:space="0" w:color="000000"/>
              <w:right w:val="single" w:sz="4" w:space="0" w:color="000000"/>
            </w:tcBorders>
          </w:tcPr>
          <w:p w14:paraId="640B4561" w14:textId="77777777" w:rsidR="00045E69" w:rsidRPr="00BD0EF2" w:rsidRDefault="00045E69" w:rsidP="00F97390"/>
        </w:tc>
      </w:tr>
      <w:tr w:rsidR="0042368D" w:rsidRPr="00BD0EF2" w14:paraId="1DE1793D" w14:textId="77777777" w:rsidTr="00F97390">
        <w:trPr>
          <w:trHeight w:hRule="exact" w:val="1848"/>
        </w:trPr>
        <w:tc>
          <w:tcPr>
            <w:tcW w:w="1253" w:type="dxa"/>
            <w:tcBorders>
              <w:top w:val="single" w:sz="4" w:space="0" w:color="000000"/>
              <w:left w:val="single" w:sz="4" w:space="0" w:color="000000"/>
              <w:bottom w:val="single" w:sz="4" w:space="0" w:color="000000"/>
              <w:right w:val="single" w:sz="4" w:space="0" w:color="000000"/>
            </w:tcBorders>
          </w:tcPr>
          <w:p w14:paraId="5E793532" w14:textId="77777777" w:rsidR="0042368D" w:rsidRPr="00BD0EF2" w:rsidRDefault="0042368D" w:rsidP="00F97390">
            <w:pPr>
              <w:pStyle w:val="BodyText3"/>
              <w:spacing w:before="120" w:after="120"/>
              <w:jc w:val="center"/>
              <w:rPr>
                <w:sz w:val="18"/>
                <w:szCs w:val="18"/>
              </w:rPr>
            </w:pPr>
            <w:r w:rsidRPr="00BD0EF2">
              <w:rPr>
                <w:sz w:val="18"/>
                <w:szCs w:val="18"/>
              </w:rPr>
              <w:lastRenderedPageBreak/>
              <w:t>2</w:t>
            </w:r>
          </w:p>
        </w:tc>
        <w:tc>
          <w:tcPr>
            <w:tcW w:w="540" w:type="dxa"/>
            <w:tcBorders>
              <w:top w:val="single" w:sz="4" w:space="0" w:color="000000"/>
              <w:left w:val="single" w:sz="4" w:space="0" w:color="000000"/>
              <w:bottom w:val="single" w:sz="4" w:space="0" w:color="000000"/>
              <w:right w:val="single" w:sz="4" w:space="0" w:color="000000"/>
            </w:tcBorders>
          </w:tcPr>
          <w:p w14:paraId="6AFAA0CB" w14:textId="77777777" w:rsidR="0042368D" w:rsidRPr="00BD0EF2" w:rsidRDefault="0042368D" w:rsidP="00F97390">
            <w:pPr>
              <w:spacing w:before="7" w:line="160" w:lineRule="exact"/>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2BF77F96" w14:textId="77777777" w:rsidR="0042368D" w:rsidRPr="00BD0EF2" w:rsidRDefault="0042368D" w:rsidP="00F97390">
            <w:pPr>
              <w:rPr>
                <w:bCs/>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50E67070" w14:textId="77777777" w:rsidR="0042368D" w:rsidRPr="00BD0EF2" w:rsidRDefault="0042368D" w:rsidP="00F97390">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33745573" w14:textId="77777777" w:rsidR="0042368D" w:rsidRPr="00BD0EF2" w:rsidRDefault="0042368D" w:rsidP="00F97390">
            <w:pPr>
              <w:rPr>
                <w:bCs/>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10FEF1AD" w14:textId="77777777" w:rsidR="0042368D" w:rsidRPr="00BD0EF2" w:rsidRDefault="0042368D" w:rsidP="00F97390">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1F8A259C" w14:textId="77777777" w:rsidR="0042368D" w:rsidRPr="00BD0EF2" w:rsidRDefault="0042368D" w:rsidP="00F97390"/>
        </w:tc>
        <w:tc>
          <w:tcPr>
            <w:tcW w:w="331" w:type="dxa"/>
            <w:tcBorders>
              <w:top w:val="single" w:sz="4" w:space="0" w:color="000000"/>
              <w:left w:val="single" w:sz="4" w:space="0" w:color="000000"/>
              <w:bottom w:val="single" w:sz="4" w:space="0" w:color="000000"/>
              <w:right w:val="single" w:sz="4" w:space="0" w:color="000000"/>
            </w:tcBorders>
          </w:tcPr>
          <w:p w14:paraId="11D18826" w14:textId="77777777" w:rsidR="0042368D" w:rsidRPr="00BD0EF2" w:rsidRDefault="0042368D" w:rsidP="00F97390"/>
        </w:tc>
        <w:tc>
          <w:tcPr>
            <w:tcW w:w="329" w:type="dxa"/>
            <w:tcBorders>
              <w:top w:val="single" w:sz="4" w:space="0" w:color="000000"/>
              <w:left w:val="single" w:sz="4" w:space="0" w:color="000000"/>
              <w:bottom w:val="single" w:sz="4" w:space="0" w:color="000000"/>
              <w:right w:val="single" w:sz="4" w:space="0" w:color="000000"/>
            </w:tcBorders>
          </w:tcPr>
          <w:p w14:paraId="2E60CF4E" w14:textId="77777777" w:rsidR="0042368D" w:rsidRPr="00BD0EF2" w:rsidRDefault="0042368D" w:rsidP="00F97390"/>
        </w:tc>
        <w:tc>
          <w:tcPr>
            <w:tcW w:w="1260" w:type="dxa"/>
            <w:tcBorders>
              <w:top w:val="single" w:sz="4" w:space="0" w:color="000000"/>
              <w:left w:val="single" w:sz="4" w:space="0" w:color="000000"/>
              <w:bottom w:val="single" w:sz="4" w:space="0" w:color="000000"/>
              <w:right w:val="single" w:sz="4" w:space="0" w:color="000000"/>
            </w:tcBorders>
          </w:tcPr>
          <w:p w14:paraId="52FDB156" w14:textId="77777777" w:rsidR="0042368D" w:rsidRPr="00BD0EF2" w:rsidRDefault="0042368D" w:rsidP="00F97390">
            <w:pPr>
              <w:spacing w:before="7" w:line="160" w:lineRule="exact"/>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9890D73" w14:textId="77777777" w:rsidR="0042368D" w:rsidRPr="00BD0EF2" w:rsidRDefault="0042368D" w:rsidP="00F97390"/>
        </w:tc>
        <w:tc>
          <w:tcPr>
            <w:tcW w:w="3338" w:type="dxa"/>
            <w:tcBorders>
              <w:top w:val="single" w:sz="4" w:space="0" w:color="000000"/>
              <w:left w:val="single" w:sz="4" w:space="0" w:color="000000"/>
              <w:bottom w:val="single" w:sz="4" w:space="0" w:color="000000"/>
              <w:right w:val="single" w:sz="4" w:space="0" w:color="000000"/>
            </w:tcBorders>
          </w:tcPr>
          <w:p w14:paraId="49D5F37B" w14:textId="77777777" w:rsidR="0042368D" w:rsidRPr="00BD0EF2" w:rsidRDefault="0042368D" w:rsidP="00F97390">
            <w:pPr>
              <w:pStyle w:val="BodyText3"/>
              <w:spacing w:before="120" w:after="120"/>
              <w:rPr>
                <w:bCs/>
                <w:sz w:val="18"/>
                <w:szCs w:val="18"/>
                <w:lang w:val="en-GB"/>
              </w:rPr>
            </w:pPr>
            <w:r w:rsidRPr="00BD0EF2">
              <w:rPr>
                <w:bCs/>
                <w:sz w:val="18"/>
                <w:szCs w:val="18"/>
                <w:lang w:val="en-GB"/>
              </w:rPr>
              <w:t xml:space="preserve">Reconciliation of own funds reported in the economical balance sheet with (audited) IFRS financial statements (or BEGAAP financial statements in the case that no IFRS reporting is prepared) and validation of differences between the (audited) IFRS (BE GAAP) financial statements and Solvency II principles. </w:t>
            </w:r>
          </w:p>
        </w:tc>
        <w:tc>
          <w:tcPr>
            <w:tcW w:w="1213" w:type="dxa"/>
            <w:tcBorders>
              <w:top w:val="single" w:sz="4" w:space="0" w:color="000000"/>
              <w:left w:val="single" w:sz="4" w:space="0" w:color="000000"/>
              <w:bottom w:val="single" w:sz="4" w:space="0" w:color="000000"/>
              <w:right w:val="single" w:sz="4" w:space="0" w:color="000000"/>
            </w:tcBorders>
          </w:tcPr>
          <w:p w14:paraId="2FEA9571" w14:textId="77777777" w:rsidR="0042368D" w:rsidRPr="00BD0EF2" w:rsidRDefault="0042368D" w:rsidP="00F97390">
            <w:pPr>
              <w:spacing w:before="7" w:line="160" w:lineRule="exact"/>
              <w:rPr>
                <w:sz w:val="16"/>
                <w:szCs w:val="16"/>
              </w:rPr>
            </w:pPr>
          </w:p>
        </w:tc>
        <w:tc>
          <w:tcPr>
            <w:tcW w:w="1063" w:type="dxa"/>
            <w:tcBorders>
              <w:top w:val="single" w:sz="4" w:space="0" w:color="000000"/>
              <w:left w:val="single" w:sz="4" w:space="0" w:color="000000"/>
              <w:bottom w:val="single" w:sz="4" w:space="0" w:color="000000"/>
              <w:right w:val="single" w:sz="4" w:space="0" w:color="000000"/>
            </w:tcBorders>
          </w:tcPr>
          <w:p w14:paraId="5573EF22" w14:textId="77777777" w:rsidR="0042368D" w:rsidRPr="00BD0EF2" w:rsidRDefault="0042368D" w:rsidP="00F97390"/>
        </w:tc>
        <w:tc>
          <w:tcPr>
            <w:tcW w:w="780" w:type="dxa"/>
            <w:tcBorders>
              <w:top w:val="single" w:sz="4" w:space="0" w:color="000000"/>
              <w:left w:val="single" w:sz="4" w:space="0" w:color="000000"/>
              <w:bottom w:val="single" w:sz="4" w:space="0" w:color="000000"/>
              <w:right w:val="single" w:sz="4" w:space="0" w:color="000000"/>
            </w:tcBorders>
          </w:tcPr>
          <w:p w14:paraId="5BA9D872" w14:textId="77777777" w:rsidR="0042368D" w:rsidRPr="00BD0EF2" w:rsidRDefault="0042368D" w:rsidP="00F97390"/>
        </w:tc>
      </w:tr>
      <w:tr w:rsidR="0042368D" w:rsidRPr="00BD0EF2" w14:paraId="654A7B94" w14:textId="77777777" w:rsidTr="00F97390">
        <w:trPr>
          <w:trHeight w:hRule="exact" w:val="1986"/>
        </w:trPr>
        <w:tc>
          <w:tcPr>
            <w:tcW w:w="1253" w:type="dxa"/>
            <w:tcBorders>
              <w:top w:val="single" w:sz="4" w:space="0" w:color="000000"/>
              <w:left w:val="single" w:sz="4" w:space="0" w:color="000000"/>
              <w:bottom w:val="single" w:sz="4" w:space="0" w:color="000000"/>
              <w:right w:val="single" w:sz="4" w:space="0" w:color="000000"/>
            </w:tcBorders>
          </w:tcPr>
          <w:p w14:paraId="6DF4DB3F" w14:textId="77777777" w:rsidR="0042368D" w:rsidRPr="00BD0EF2" w:rsidRDefault="0042368D" w:rsidP="00F97390">
            <w:pPr>
              <w:pStyle w:val="BodyText3"/>
              <w:spacing w:before="120" w:after="120"/>
              <w:jc w:val="center"/>
              <w:rPr>
                <w:sz w:val="18"/>
                <w:szCs w:val="18"/>
              </w:rPr>
            </w:pPr>
            <w:r w:rsidRPr="00BD0EF2">
              <w:rPr>
                <w:sz w:val="18"/>
                <w:szCs w:val="18"/>
              </w:rPr>
              <w:t>3</w:t>
            </w:r>
          </w:p>
        </w:tc>
        <w:tc>
          <w:tcPr>
            <w:tcW w:w="540" w:type="dxa"/>
            <w:tcBorders>
              <w:top w:val="single" w:sz="4" w:space="0" w:color="000000"/>
              <w:left w:val="single" w:sz="4" w:space="0" w:color="000000"/>
              <w:bottom w:val="single" w:sz="4" w:space="0" w:color="000000"/>
              <w:right w:val="single" w:sz="4" w:space="0" w:color="000000"/>
            </w:tcBorders>
          </w:tcPr>
          <w:p w14:paraId="658BE1AB" w14:textId="77777777" w:rsidR="0042368D" w:rsidRPr="00BD0EF2" w:rsidRDefault="0042368D" w:rsidP="00F97390">
            <w:pPr>
              <w:spacing w:before="7" w:line="160" w:lineRule="exact"/>
              <w:rPr>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425D389C" w14:textId="77777777" w:rsidR="0042368D" w:rsidRPr="00BD0EF2" w:rsidRDefault="0042368D" w:rsidP="00F97390">
            <w:pPr>
              <w:rPr>
                <w:bCs/>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0D518A33" w14:textId="77777777" w:rsidR="0042368D" w:rsidRPr="00BD0EF2" w:rsidRDefault="0042368D" w:rsidP="00F97390">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0C2F6B9F" w14:textId="77777777" w:rsidR="0042368D" w:rsidRPr="00BD0EF2" w:rsidRDefault="0042368D" w:rsidP="00F97390">
            <w:pPr>
              <w:rPr>
                <w:bCs/>
                <w:sz w:val="18"/>
                <w:szCs w:val="18"/>
              </w:rPr>
            </w:pPr>
          </w:p>
        </w:tc>
        <w:tc>
          <w:tcPr>
            <w:tcW w:w="331" w:type="dxa"/>
            <w:tcBorders>
              <w:top w:val="single" w:sz="4" w:space="0" w:color="000000"/>
              <w:left w:val="single" w:sz="4" w:space="0" w:color="000000"/>
              <w:bottom w:val="single" w:sz="4" w:space="0" w:color="000000"/>
              <w:right w:val="single" w:sz="4" w:space="0" w:color="000000"/>
            </w:tcBorders>
          </w:tcPr>
          <w:p w14:paraId="124062DE" w14:textId="77777777" w:rsidR="0042368D" w:rsidRPr="00BD0EF2" w:rsidRDefault="0042368D" w:rsidP="00F97390">
            <w:pPr>
              <w:rPr>
                <w:bCs/>
                <w:sz w:val="18"/>
                <w:szCs w:val="18"/>
              </w:rPr>
            </w:pPr>
          </w:p>
        </w:tc>
        <w:tc>
          <w:tcPr>
            <w:tcW w:w="329" w:type="dxa"/>
            <w:tcBorders>
              <w:top w:val="single" w:sz="4" w:space="0" w:color="000000"/>
              <w:left w:val="single" w:sz="4" w:space="0" w:color="000000"/>
              <w:bottom w:val="single" w:sz="4" w:space="0" w:color="000000"/>
              <w:right w:val="single" w:sz="4" w:space="0" w:color="000000"/>
            </w:tcBorders>
          </w:tcPr>
          <w:p w14:paraId="4B1DA9A7" w14:textId="77777777" w:rsidR="0042368D" w:rsidRPr="00BD0EF2" w:rsidRDefault="0042368D" w:rsidP="00F97390"/>
        </w:tc>
        <w:tc>
          <w:tcPr>
            <w:tcW w:w="331" w:type="dxa"/>
            <w:tcBorders>
              <w:top w:val="single" w:sz="4" w:space="0" w:color="000000"/>
              <w:left w:val="single" w:sz="4" w:space="0" w:color="000000"/>
              <w:bottom w:val="single" w:sz="4" w:space="0" w:color="000000"/>
              <w:right w:val="single" w:sz="4" w:space="0" w:color="000000"/>
            </w:tcBorders>
          </w:tcPr>
          <w:p w14:paraId="4C023EB0" w14:textId="77777777" w:rsidR="0042368D" w:rsidRPr="00BD0EF2" w:rsidRDefault="0042368D" w:rsidP="00F97390"/>
        </w:tc>
        <w:tc>
          <w:tcPr>
            <w:tcW w:w="329" w:type="dxa"/>
            <w:tcBorders>
              <w:top w:val="single" w:sz="4" w:space="0" w:color="000000"/>
              <w:left w:val="single" w:sz="4" w:space="0" w:color="000000"/>
              <w:bottom w:val="single" w:sz="4" w:space="0" w:color="000000"/>
              <w:right w:val="single" w:sz="4" w:space="0" w:color="000000"/>
            </w:tcBorders>
          </w:tcPr>
          <w:p w14:paraId="0D2BC9AC" w14:textId="77777777" w:rsidR="0042368D" w:rsidRPr="00BD0EF2" w:rsidRDefault="0042368D" w:rsidP="00F97390"/>
        </w:tc>
        <w:tc>
          <w:tcPr>
            <w:tcW w:w="1260" w:type="dxa"/>
            <w:tcBorders>
              <w:top w:val="single" w:sz="4" w:space="0" w:color="000000"/>
              <w:left w:val="single" w:sz="4" w:space="0" w:color="000000"/>
              <w:bottom w:val="single" w:sz="4" w:space="0" w:color="000000"/>
              <w:right w:val="single" w:sz="4" w:space="0" w:color="000000"/>
            </w:tcBorders>
          </w:tcPr>
          <w:p w14:paraId="63E475E4" w14:textId="77777777" w:rsidR="0042368D" w:rsidRPr="00BD0EF2" w:rsidRDefault="0042368D" w:rsidP="00F97390">
            <w:pPr>
              <w:spacing w:before="7" w:line="160" w:lineRule="exact"/>
              <w:rPr>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4E8BA4B0" w14:textId="77777777" w:rsidR="0042368D" w:rsidRPr="00DC2A94" w:rsidRDefault="0042368D" w:rsidP="00F97390"/>
        </w:tc>
        <w:tc>
          <w:tcPr>
            <w:tcW w:w="3338" w:type="dxa"/>
            <w:tcBorders>
              <w:top w:val="single" w:sz="4" w:space="0" w:color="000000"/>
              <w:left w:val="single" w:sz="4" w:space="0" w:color="000000"/>
              <w:bottom w:val="single" w:sz="4" w:space="0" w:color="000000"/>
              <w:right w:val="single" w:sz="4" w:space="0" w:color="000000"/>
            </w:tcBorders>
          </w:tcPr>
          <w:p w14:paraId="5E39CD40" w14:textId="67681159" w:rsidR="0042368D" w:rsidRPr="00DC2A94" w:rsidRDefault="0042368D" w:rsidP="00F97390">
            <w:pPr>
              <w:pStyle w:val="BodyText3"/>
              <w:spacing w:before="120" w:after="120"/>
              <w:rPr>
                <w:bCs/>
                <w:sz w:val="18"/>
                <w:szCs w:val="18"/>
                <w:lang w:val="en-GB"/>
              </w:rPr>
            </w:pPr>
            <w:r w:rsidRPr="00812675">
              <w:rPr>
                <w:bCs/>
                <w:sz w:val="18"/>
                <w:szCs w:val="18"/>
                <w:lang w:val="en-GB"/>
              </w:rPr>
              <w:t>Review of the IFRS financial statements (or BEGAAP financial statements in the case that</w:t>
            </w:r>
            <w:r w:rsidRPr="00D9380E">
              <w:rPr>
                <w:bCs/>
                <w:sz w:val="18"/>
                <w:szCs w:val="18"/>
                <w:lang w:val="en-GB"/>
              </w:rPr>
              <w:t xml:space="preserve"> no IFRS reporting is available) and identification/justification of differences/measurement basis in accordance </w:t>
            </w:r>
            <w:r w:rsidR="0093679D">
              <w:rPr>
                <w:bCs/>
                <w:sz w:val="18"/>
                <w:szCs w:val="18"/>
                <w:lang w:val="en-GB"/>
              </w:rPr>
              <w:t xml:space="preserve">with </w:t>
            </w:r>
            <w:r w:rsidR="00801B87">
              <w:rPr>
                <w:bCs/>
                <w:sz w:val="18"/>
                <w:szCs w:val="18"/>
                <w:lang w:val="en-GB"/>
              </w:rPr>
              <w:t xml:space="preserve">the BNB/NBB Circulars, and more specifically </w:t>
            </w:r>
            <w:r w:rsidR="00801B87" w:rsidRPr="006974AE">
              <w:rPr>
                <w:b/>
                <w:bCs/>
                <w:sz w:val="18"/>
                <w:szCs w:val="18"/>
                <w:lang w:val="en-GB"/>
              </w:rPr>
              <w:t>BNB/NBB Circular 2016_28</w:t>
            </w:r>
            <w:r w:rsidR="00801B87">
              <w:rPr>
                <w:bCs/>
                <w:sz w:val="18"/>
                <w:szCs w:val="18"/>
                <w:lang w:val="en-GB"/>
              </w:rPr>
              <w:t xml:space="preserve"> and </w:t>
            </w:r>
            <w:r w:rsidR="00801B87" w:rsidRPr="006974AE">
              <w:rPr>
                <w:b/>
                <w:bCs/>
                <w:sz w:val="18"/>
                <w:szCs w:val="18"/>
                <w:lang w:val="en-GB"/>
              </w:rPr>
              <w:t>BNB/NBB Circular 2016_8</w:t>
            </w:r>
          </w:p>
        </w:tc>
        <w:tc>
          <w:tcPr>
            <w:tcW w:w="1213" w:type="dxa"/>
            <w:tcBorders>
              <w:top w:val="single" w:sz="4" w:space="0" w:color="000000"/>
              <w:left w:val="single" w:sz="4" w:space="0" w:color="000000"/>
              <w:bottom w:val="single" w:sz="4" w:space="0" w:color="000000"/>
              <w:right w:val="single" w:sz="4" w:space="0" w:color="000000"/>
            </w:tcBorders>
          </w:tcPr>
          <w:p w14:paraId="6A83FDDE" w14:textId="77777777" w:rsidR="0042368D" w:rsidRPr="00BD0EF2" w:rsidRDefault="0042368D" w:rsidP="00F97390">
            <w:pPr>
              <w:spacing w:before="7" w:line="160" w:lineRule="exact"/>
              <w:rPr>
                <w:sz w:val="16"/>
                <w:szCs w:val="16"/>
              </w:rPr>
            </w:pPr>
          </w:p>
        </w:tc>
        <w:tc>
          <w:tcPr>
            <w:tcW w:w="1063" w:type="dxa"/>
            <w:tcBorders>
              <w:top w:val="single" w:sz="4" w:space="0" w:color="000000"/>
              <w:left w:val="single" w:sz="4" w:space="0" w:color="000000"/>
              <w:bottom w:val="single" w:sz="4" w:space="0" w:color="000000"/>
              <w:right w:val="single" w:sz="4" w:space="0" w:color="000000"/>
            </w:tcBorders>
          </w:tcPr>
          <w:p w14:paraId="64AF23E2" w14:textId="77777777" w:rsidR="0042368D" w:rsidRPr="00BD0EF2" w:rsidRDefault="0042368D" w:rsidP="00F97390"/>
        </w:tc>
        <w:tc>
          <w:tcPr>
            <w:tcW w:w="780" w:type="dxa"/>
            <w:tcBorders>
              <w:top w:val="single" w:sz="4" w:space="0" w:color="000000"/>
              <w:left w:val="single" w:sz="4" w:space="0" w:color="000000"/>
              <w:bottom w:val="single" w:sz="4" w:space="0" w:color="000000"/>
              <w:right w:val="single" w:sz="4" w:space="0" w:color="000000"/>
            </w:tcBorders>
          </w:tcPr>
          <w:p w14:paraId="2E008712" w14:textId="77777777" w:rsidR="0042368D" w:rsidRPr="00BD0EF2" w:rsidRDefault="0042368D" w:rsidP="00F97390"/>
        </w:tc>
      </w:tr>
    </w:tbl>
    <w:p w14:paraId="7573C5E3" w14:textId="77777777" w:rsidR="0042368D" w:rsidRDefault="0042368D" w:rsidP="0042368D">
      <w:pPr>
        <w:rPr>
          <w:b/>
          <w:bCs/>
          <w:sz w:val="28"/>
          <w:szCs w:val="28"/>
        </w:rPr>
      </w:pPr>
      <w:r>
        <w:rPr>
          <w:b/>
          <w:bCs/>
          <w:sz w:val="28"/>
          <w:szCs w:val="28"/>
        </w:rPr>
        <w:br w:type="page"/>
      </w:r>
    </w:p>
    <w:p w14:paraId="757B8F98" w14:textId="77777777" w:rsidR="0042368D" w:rsidRPr="00B817E4" w:rsidRDefault="0042368D" w:rsidP="0042368D">
      <w:pPr>
        <w:rPr>
          <w:b/>
          <w:bCs/>
          <w:sz w:val="28"/>
          <w:szCs w:val="28"/>
        </w:rPr>
      </w:pPr>
      <w:r w:rsidRPr="0035351F">
        <w:rPr>
          <w:b/>
          <w:bCs/>
          <w:sz w:val="28"/>
          <w:szCs w:val="28"/>
        </w:rPr>
        <w:lastRenderedPageBreak/>
        <w:t>PART II - SUBSTANTIVE</w:t>
      </w:r>
      <w:r w:rsidRPr="00B817E4">
        <w:rPr>
          <w:b/>
          <w:bCs/>
          <w:sz w:val="28"/>
          <w:szCs w:val="28"/>
        </w:rPr>
        <w:t xml:space="preserve"> TESTING</w:t>
      </w:r>
    </w:p>
    <w:p w14:paraId="2040BD6C" w14:textId="77777777" w:rsidR="0042368D" w:rsidRPr="0035351F" w:rsidRDefault="0042368D" w:rsidP="0042368D">
      <w:pPr>
        <w:widowControl w:val="0"/>
        <w:spacing w:after="200" w:line="276" w:lineRule="auto"/>
        <w:rPr>
          <w:b/>
          <w:bCs/>
          <w:sz w:val="28"/>
          <w:szCs w:val="28"/>
        </w:rPr>
      </w:pPr>
    </w:p>
    <w:p w14:paraId="6EAF8DCE" w14:textId="77777777" w:rsidR="0042368D" w:rsidRPr="0063699D" w:rsidRDefault="0042368D" w:rsidP="0042368D">
      <w:pPr>
        <w:pStyle w:val="BodyText1"/>
        <w:rPr>
          <w:vanish/>
        </w:rPr>
      </w:pPr>
      <w:r w:rsidRPr="0063699D">
        <w:rPr>
          <w:vanish/>
        </w:rPr>
        <w:t>We assess the inherent risk and control risk for the audit/assurance objective and provide a rationale for the related assessment. Based on our assessments of the inherent risk and control risk, we assess the risk of significant misstatement (</w:t>
      </w:r>
      <w:proofErr w:type="spellStart"/>
      <w:r w:rsidRPr="0063699D">
        <w:rPr>
          <w:vanish/>
        </w:rPr>
        <w:t>RoSM</w:t>
      </w:r>
      <w:proofErr w:type="spellEnd"/>
      <w:r w:rsidRPr="0063699D">
        <w:rPr>
          <w:vanish/>
        </w:rPr>
        <w:t xml:space="preserve">) arising from error for each audit/assurance objective. </w:t>
      </w:r>
      <w:r w:rsidRPr="001F6C57">
        <w:rPr>
          <w:vanish/>
        </w:rPr>
        <w:t xml:space="preserve">[KAM </w:t>
      </w:r>
      <w:r w:rsidRPr="001F6C57">
        <w:rPr>
          <w:rStyle w:val="KAMreference"/>
          <w:vanish/>
          <w:color w:val="auto"/>
        </w:rPr>
        <w:fldChar w:fldCharType="begin"/>
      </w:r>
      <w:r w:rsidRPr="001F6C57">
        <w:rPr>
          <w:rStyle w:val="KAMreference"/>
          <w:vanish/>
          <w:color w:val="auto"/>
        </w:rPr>
        <w:instrText xml:space="preserve"> MACROBUTTON Goto_KAM 4900</w:instrText>
      </w:r>
      <w:r w:rsidRPr="001F6C57">
        <w:rPr>
          <w:rStyle w:val="KAMreference"/>
          <w:vanish/>
          <w:color w:val="auto"/>
        </w:rPr>
        <w:fldChar w:fldCharType="end"/>
      </w:r>
      <w:r w:rsidRPr="001F6C57">
        <w:rPr>
          <w:vanish/>
        </w:rPr>
        <w:t>]</w:t>
      </w:r>
    </w:p>
    <w:p w14:paraId="5FE0132B" w14:textId="77777777" w:rsidR="0042368D" w:rsidRPr="0063699D" w:rsidRDefault="0042368D" w:rsidP="0042368D">
      <w:pPr>
        <w:pStyle w:val="BodyText1"/>
        <w:rPr>
          <w:vanish/>
        </w:rPr>
      </w:pPr>
      <w:r w:rsidRPr="0063699D">
        <w:rPr>
          <w:vanish/>
        </w:rPr>
        <w:t>We also document specific inherent risks and other risks not mitigated by controls relating to this audit/assurance objective in the table below. These risks are considered when determining the nature, timing and extent of substantive procedures to be performed for this audit/assurance objective.</w:t>
      </w:r>
    </w:p>
    <w:p w14:paraId="324C31DD" w14:textId="77777777" w:rsidR="0042368D" w:rsidRPr="0063699D" w:rsidRDefault="0042368D" w:rsidP="0042368D">
      <w:pPr>
        <w:pStyle w:val="BodyText1"/>
        <w:rPr>
          <w:vanish/>
        </w:rPr>
      </w:pPr>
      <w:r w:rsidRPr="0063699D">
        <w:rPr>
          <w:vanish/>
        </w:rPr>
        <w:t xml:space="preserve">Effective entity level controls support the  </w:t>
      </w:r>
      <w:proofErr w:type="spellStart"/>
      <w:r w:rsidRPr="0063699D">
        <w:rPr>
          <w:vanish/>
        </w:rPr>
        <w:t>RoSM</w:t>
      </w:r>
      <w:proofErr w:type="spellEnd"/>
      <w:r w:rsidRPr="0063699D">
        <w:rPr>
          <w:vanish/>
        </w:rPr>
        <w:t xml:space="preserve"> assessments. However, deficiencies in entity level controls could undermine the effectiveness of some of the control activities and therefore may require us to amend upwards our assessment of </w:t>
      </w:r>
      <w:proofErr w:type="spellStart"/>
      <w:r w:rsidRPr="0063699D">
        <w:rPr>
          <w:vanish/>
        </w:rPr>
        <w:t>RoSM</w:t>
      </w:r>
      <w:proofErr w:type="spellEnd"/>
      <w:r w:rsidRPr="0063699D">
        <w:rPr>
          <w:vanish/>
        </w:rPr>
        <w:t xml:space="preserve"> for some or all audit/assurance objectives.</w:t>
      </w:r>
    </w:p>
    <w:p w14:paraId="3021AB93" w14:textId="77777777" w:rsidR="0042368D" w:rsidRPr="0063699D" w:rsidRDefault="0042368D" w:rsidP="0042368D">
      <w:pPr>
        <w:pStyle w:val="BodyText1"/>
        <w:rPr>
          <w:vanish/>
          <w:sz w:val="20"/>
        </w:rPr>
      </w:pPr>
      <w:r w:rsidRPr="0063699D">
        <w:rPr>
          <w:vanish/>
        </w:rPr>
        <w:t xml:space="preserve">We use the </w:t>
      </w:r>
      <w:proofErr w:type="spellStart"/>
      <w:r w:rsidRPr="0063699D">
        <w:rPr>
          <w:vanish/>
        </w:rPr>
        <w:t>RoSM</w:t>
      </w:r>
      <w:proofErr w:type="spellEnd"/>
      <w:r w:rsidRPr="0063699D">
        <w:rPr>
          <w:vanish/>
        </w:rPr>
        <w:t xml:space="preserve"> matrix when assessing </w:t>
      </w:r>
      <w:proofErr w:type="spellStart"/>
      <w:r w:rsidRPr="0063699D">
        <w:rPr>
          <w:vanish/>
        </w:rPr>
        <w:t>RoSM</w:t>
      </w:r>
      <w:proofErr w:type="spellEnd"/>
      <w:r w:rsidRPr="0063699D">
        <w:rPr>
          <w:vanish/>
        </w:rPr>
        <w:t xml:space="preserve"> for each audit/assurance objective. If we determine that a lower (or higher) </w:t>
      </w:r>
      <w:proofErr w:type="spellStart"/>
      <w:r w:rsidRPr="0063699D">
        <w:rPr>
          <w:vanish/>
        </w:rPr>
        <w:t>RoSM</w:t>
      </w:r>
      <w:proofErr w:type="spellEnd"/>
      <w:r w:rsidRPr="0063699D">
        <w:rPr>
          <w:vanish/>
        </w:rPr>
        <w:t xml:space="preserve"> than that suggested by this matrix is appropriate, we can make such a choice of </w:t>
      </w:r>
      <w:proofErr w:type="spellStart"/>
      <w:r w:rsidRPr="0063699D">
        <w:rPr>
          <w:vanish/>
        </w:rPr>
        <w:t>RoSM</w:t>
      </w:r>
      <w:proofErr w:type="spellEnd"/>
      <w:r w:rsidRPr="0063699D">
        <w:rPr>
          <w:vanish/>
        </w:rPr>
        <w:t xml:space="preserve"> provided the decision is appropriately documented and justified. [</w:t>
      </w:r>
      <w:r w:rsidRPr="001F6C57">
        <w:rPr>
          <w:vanish/>
        </w:rPr>
        <w:t xml:space="preserve">KAM </w:t>
      </w:r>
      <w:r w:rsidRPr="001F6C57">
        <w:rPr>
          <w:rStyle w:val="KAMreference"/>
          <w:vanish/>
          <w:color w:val="auto"/>
        </w:rPr>
        <w:fldChar w:fldCharType="begin"/>
      </w:r>
      <w:r w:rsidRPr="001F6C57">
        <w:rPr>
          <w:rStyle w:val="KAMreference"/>
          <w:vanish/>
          <w:color w:val="auto"/>
        </w:rPr>
        <w:instrText xml:space="preserve"> MACROBUTTON Goto_KAM 4934</w:instrText>
      </w:r>
      <w:r w:rsidRPr="001F6C57">
        <w:rPr>
          <w:rStyle w:val="KAMreference"/>
          <w:vanish/>
          <w:color w:val="auto"/>
        </w:rPr>
        <w:fldChar w:fldCharType="end"/>
      </w:r>
      <w:r w:rsidRPr="001F6C57">
        <w:rPr>
          <w:vanish/>
        </w:rPr>
        <w:t>]</w:t>
      </w:r>
      <w:r>
        <w:rPr>
          <w:vanish/>
        </w:rPr>
        <w:br/>
      </w:r>
    </w:p>
    <w:tbl>
      <w:tblPr>
        <w:tblW w:w="0" w:type="auto"/>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26"/>
        <w:gridCol w:w="8587"/>
        <w:gridCol w:w="2472"/>
      </w:tblGrid>
      <w:tr w:rsidR="0042368D" w:rsidRPr="0035351F" w14:paraId="3D904015" w14:textId="77777777" w:rsidTr="00F97390">
        <w:trPr>
          <w:trHeight w:val="144"/>
          <w:tblHeader/>
        </w:trPr>
        <w:tc>
          <w:tcPr>
            <w:tcW w:w="11525" w:type="dxa"/>
            <w:gridSpan w:val="2"/>
          </w:tcPr>
          <w:p w14:paraId="16BFFA66" w14:textId="77777777" w:rsidR="0042368D" w:rsidRPr="0035351F" w:rsidRDefault="0042368D" w:rsidP="00F97390">
            <w:pPr>
              <w:pStyle w:val="Tableheading"/>
              <w:jc w:val="center"/>
              <w:rPr>
                <w:sz w:val="20"/>
              </w:rPr>
            </w:pPr>
            <w:r w:rsidRPr="0035351F">
              <w:rPr>
                <w:bCs/>
                <w:spacing w:val="-1"/>
                <w:sz w:val="20"/>
              </w:rPr>
              <w:t>R</w:t>
            </w:r>
            <w:r w:rsidRPr="0035351F">
              <w:rPr>
                <w:bCs/>
                <w:sz w:val="20"/>
              </w:rPr>
              <w:t>a</w:t>
            </w:r>
            <w:r w:rsidRPr="0035351F">
              <w:rPr>
                <w:bCs/>
                <w:spacing w:val="1"/>
                <w:sz w:val="20"/>
              </w:rPr>
              <w:t>ti</w:t>
            </w:r>
            <w:r w:rsidRPr="0035351F">
              <w:rPr>
                <w:bCs/>
                <w:sz w:val="20"/>
              </w:rPr>
              <w:t>on</w:t>
            </w:r>
            <w:r w:rsidRPr="0035351F">
              <w:rPr>
                <w:bCs/>
                <w:spacing w:val="-2"/>
                <w:sz w:val="20"/>
              </w:rPr>
              <w:t>a</w:t>
            </w:r>
            <w:r w:rsidRPr="0035351F">
              <w:rPr>
                <w:bCs/>
                <w:spacing w:val="1"/>
                <w:sz w:val="20"/>
              </w:rPr>
              <w:t>l</w:t>
            </w:r>
            <w:r w:rsidRPr="0035351F">
              <w:rPr>
                <w:bCs/>
                <w:sz w:val="20"/>
              </w:rPr>
              <w:t>e</w:t>
            </w:r>
            <w:r w:rsidRPr="0035351F">
              <w:rPr>
                <w:bCs/>
                <w:spacing w:val="-2"/>
                <w:sz w:val="20"/>
              </w:rPr>
              <w:t xml:space="preserve"> </w:t>
            </w:r>
            <w:r w:rsidRPr="0035351F">
              <w:rPr>
                <w:bCs/>
                <w:spacing w:val="1"/>
                <w:sz w:val="20"/>
              </w:rPr>
              <w:t>f</w:t>
            </w:r>
            <w:r w:rsidRPr="0035351F">
              <w:rPr>
                <w:bCs/>
                <w:sz w:val="20"/>
              </w:rPr>
              <w:t>or</w:t>
            </w:r>
            <w:r w:rsidRPr="0035351F">
              <w:rPr>
                <w:bCs/>
                <w:spacing w:val="1"/>
                <w:sz w:val="20"/>
              </w:rPr>
              <w:t xml:space="preserve"> </w:t>
            </w:r>
            <w:r w:rsidRPr="0035351F">
              <w:rPr>
                <w:bCs/>
                <w:spacing w:val="-1"/>
                <w:sz w:val="20"/>
              </w:rPr>
              <w:t>risk of significant misstatement</w:t>
            </w:r>
            <w:r w:rsidRPr="0035351F">
              <w:rPr>
                <w:bCs/>
                <w:spacing w:val="1"/>
                <w:sz w:val="20"/>
              </w:rPr>
              <w:t xml:space="preserve"> </w:t>
            </w:r>
            <w:r w:rsidRPr="0035351F">
              <w:rPr>
                <w:bCs/>
                <w:sz w:val="20"/>
              </w:rPr>
              <w:t>a</w:t>
            </w:r>
            <w:r w:rsidRPr="0035351F">
              <w:rPr>
                <w:bCs/>
                <w:spacing w:val="-2"/>
                <w:sz w:val="20"/>
              </w:rPr>
              <w:t>s</w:t>
            </w:r>
            <w:r w:rsidRPr="0035351F">
              <w:rPr>
                <w:bCs/>
                <w:sz w:val="20"/>
              </w:rPr>
              <w:t>se</w:t>
            </w:r>
            <w:r w:rsidRPr="0035351F">
              <w:rPr>
                <w:bCs/>
                <w:spacing w:val="-2"/>
                <w:sz w:val="20"/>
              </w:rPr>
              <w:t>s</w:t>
            </w:r>
            <w:r w:rsidRPr="0035351F">
              <w:rPr>
                <w:bCs/>
                <w:sz w:val="20"/>
              </w:rPr>
              <w:t>s</w:t>
            </w:r>
            <w:r w:rsidRPr="0035351F">
              <w:rPr>
                <w:bCs/>
                <w:spacing w:val="1"/>
                <w:sz w:val="20"/>
              </w:rPr>
              <w:t>m</w:t>
            </w:r>
            <w:r w:rsidRPr="0035351F">
              <w:rPr>
                <w:bCs/>
                <w:sz w:val="20"/>
              </w:rPr>
              <w:t>e</w:t>
            </w:r>
            <w:r w:rsidRPr="0035351F">
              <w:rPr>
                <w:bCs/>
                <w:spacing w:val="-3"/>
                <w:sz w:val="20"/>
              </w:rPr>
              <w:t>n</w:t>
            </w:r>
            <w:r w:rsidRPr="0035351F">
              <w:rPr>
                <w:bCs/>
                <w:sz w:val="20"/>
              </w:rPr>
              <w:t>t</w:t>
            </w:r>
          </w:p>
        </w:tc>
        <w:tc>
          <w:tcPr>
            <w:tcW w:w="2639" w:type="dxa"/>
            <w:tcBorders>
              <w:bottom w:val="single" w:sz="4" w:space="0" w:color="auto"/>
            </w:tcBorders>
          </w:tcPr>
          <w:p w14:paraId="5DF5E648" w14:textId="77777777" w:rsidR="0042368D" w:rsidRPr="0035351F" w:rsidRDefault="0042368D" w:rsidP="00F97390">
            <w:pPr>
              <w:pStyle w:val="Tableheading"/>
              <w:jc w:val="center"/>
              <w:rPr>
                <w:sz w:val="20"/>
              </w:rPr>
            </w:pPr>
            <w:r w:rsidRPr="0035351F">
              <w:rPr>
                <w:bCs/>
                <w:spacing w:val="-1"/>
                <w:sz w:val="20"/>
              </w:rPr>
              <w:t>Risk of significant misstatement</w:t>
            </w:r>
            <w:r w:rsidRPr="0035351F">
              <w:rPr>
                <w:bCs/>
                <w:spacing w:val="1"/>
                <w:sz w:val="20"/>
              </w:rPr>
              <w:t xml:space="preserve"> </w:t>
            </w:r>
            <w:r w:rsidRPr="0035351F">
              <w:rPr>
                <w:bCs/>
                <w:sz w:val="20"/>
              </w:rPr>
              <w:t>(ROSM)</w:t>
            </w:r>
          </w:p>
        </w:tc>
      </w:tr>
      <w:tr w:rsidR="0042368D" w:rsidRPr="0035351F" w14:paraId="683F3755" w14:textId="77777777" w:rsidTr="00F97390">
        <w:trPr>
          <w:trHeight w:val="721"/>
        </w:trPr>
        <w:tc>
          <w:tcPr>
            <w:tcW w:w="1966" w:type="dxa"/>
          </w:tcPr>
          <w:p w14:paraId="61F73CFE" w14:textId="77777777" w:rsidR="0042368D" w:rsidRPr="0035351F" w:rsidRDefault="0042368D" w:rsidP="00F97390">
            <w:pPr>
              <w:pStyle w:val="Tabletext"/>
              <w:rPr>
                <w:sz w:val="20"/>
              </w:rPr>
            </w:pPr>
            <w:r w:rsidRPr="0035351F">
              <w:rPr>
                <w:sz w:val="20"/>
              </w:rPr>
              <w:t>Inherent risk</w:t>
            </w:r>
          </w:p>
        </w:tc>
        <w:tc>
          <w:tcPr>
            <w:tcW w:w="9559" w:type="dxa"/>
          </w:tcPr>
          <w:p w14:paraId="64EBD488" w14:textId="77777777" w:rsidR="0042368D" w:rsidRPr="0035351F" w:rsidRDefault="0042368D" w:rsidP="00F97390">
            <w:pPr>
              <w:pStyle w:val="Header"/>
              <w:tabs>
                <w:tab w:val="clear" w:pos="4320"/>
                <w:tab w:val="clear" w:pos="8640"/>
              </w:tabs>
              <w:spacing w:before="120" w:after="120"/>
              <w:rPr>
                <w:sz w:val="20"/>
                <w:szCs w:val="20"/>
              </w:rPr>
            </w:pPr>
            <w:r w:rsidRPr="0035351F">
              <w:rPr>
                <w:sz w:val="20"/>
                <w:szCs w:val="20"/>
              </w:rPr>
              <w:t>Inherent risk is assessed as significant considering the judgment and the complexity involved for the determination of a market-consistent balance sheet.</w:t>
            </w:r>
          </w:p>
        </w:tc>
        <w:tc>
          <w:tcPr>
            <w:tcW w:w="2639" w:type="dxa"/>
            <w:vMerge w:val="restart"/>
            <w:tcBorders>
              <w:top w:val="single" w:sz="4" w:space="0" w:color="auto"/>
            </w:tcBorders>
          </w:tcPr>
          <w:p w14:paraId="464553B3" w14:textId="77777777" w:rsidR="0042368D" w:rsidRPr="0035351F" w:rsidRDefault="0042368D" w:rsidP="00F97390">
            <w:pPr>
              <w:pStyle w:val="Tabletext"/>
              <w:jc w:val="center"/>
              <w:rPr>
                <w:b/>
                <w:bCs/>
                <w:sz w:val="20"/>
              </w:rPr>
            </w:pPr>
            <w:r w:rsidRPr="0035351F">
              <w:rPr>
                <w:b/>
                <w:bCs/>
                <w:sz w:val="20"/>
              </w:rPr>
              <w:t>LOW</w:t>
            </w:r>
          </w:p>
          <w:p w14:paraId="6CA8E240" w14:textId="77777777" w:rsidR="0042368D" w:rsidRPr="0035351F" w:rsidRDefault="0042368D" w:rsidP="00F97390">
            <w:pPr>
              <w:pStyle w:val="Tabletext"/>
              <w:jc w:val="center"/>
              <w:rPr>
                <w:b/>
                <w:bCs/>
                <w:sz w:val="20"/>
              </w:rPr>
            </w:pPr>
            <w:r w:rsidRPr="0035351F">
              <w:rPr>
                <w:b/>
                <w:bCs/>
                <w:sz w:val="20"/>
              </w:rPr>
              <w:t>MEDIUM</w:t>
            </w:r>
          </w:p>
          <w:p w14:paraId="25FCA47E" w14:textId="77777777" w:rsidR="0042368D" w:rsidRPr="0035351F" w:rsidRDefault="0042368D" w:rsidP="00F97390">
            <w:pPr>
              <w:pStyle w:val="Tabletext"/>
              <w:jc w:val="center"/>
              <w:rPr>
                <w:b/>
                <w:bCs/>
                <w:sz w:val="20"/>
              </w:rPr>
            </w:pPr>
            <w:r w:rsidRPr="0035351F">
              <w:rPr>
                <w:b/>
                <w:bCs/>
                <w:sz w:val="20"/>
              </w:rPr>
              <w:t>HIGH</w:t>
            </w:r>
          </w:p>
        </w:tc>
      </w:tr>
      <w:tr w:rsidR="0042368D" w:rsidRPr="0035351F" w14:paraId="36B947AB" w14:textId="77777777" w:rsidTr="00F97390">
        <w:trPr>
          <w:trHeight w:val="505"/>
        </w:trPr>
        <w:tc>
          <w:tcPr>
            <w:tcW w:w="1966" w:type="dxa"/>
          </w:tcPr>
          <w:p w14:paraId="5C3AB59B" w14:textId="77777777" w:rsidR="0042368D" w:rsidRPr="0035351F" w:rsidRDefault="0042368D" w:rsidP="00F97390">
            <w:pPr>
              <w:pStyle w:val="Tabletext"/>
              <w:rPr>
                <w:sz w:val="20"/>
              </w:rPr>
            </w:pPr>
            <w:r w:rsidRPr="0035351F">
              <w:rPr>
                <w:sz w:val="20"/>
              </w:rPr>
              <w:t>Control risk</w:t>
            </w:r>
          </w:p>
        </w:tc>
        <w:tc>
          <w:tcPr>
            <w:tcW w:w="9559" w:type="dxa"/>
            <w:tcBorders>
              <w:top w:val="nil"/>
            </w:tcBorders>
          </w:tcPr>
          <w:p w14:paraId="5355F391" w14:textId="77777777" w:rsidR="0042368D" w:rsidRPr="0035351F" w:rsidRDefault="0042368D" w:rsidP="00F97390">
            <w:pPr>
              <w:spacing w:line="241" w:lineRule="auto"/>
              <w:ind w:right="529"/>
              <w:rPr>
                <w:sz w:val="20"/>
                <w:szCs w:val="20"/>
              </w:rPr>
            </w:pPr>
            <w:r w:rsidRPr="0035351F">
              <w:rPr>
                <w:spacing w:val="1"/>
                <w:sz w:val="20"/>
                <w:szCs w:val="20"/>
              </w:rPr>
              <w:t>To assess the control risk based on the audit team’s evaluation over t</w:t>
            </w:r>
            <w:r w:rsidRPr="0035351F">
              <w:rPr>
                <w:sz w:val="20"/>
                <w:szCs w:val="20"/>
              </w:rPr>
              <w:t>he</w:t>
            </w:r>
            <w:r w:rsidRPr="0035351F">
              <w:rPr>
                <w:spacing w:val="1"/>
                <w:sz w:val="20"/>
                <w:szCs w:val="20"/>
              </w:rPr>
              <w:t xml:space="preserve"> </w:t>
            </w:r>
            <w:r w:rsidRPr="0035351F">
              <w:rPr>
                <w:spacing w:val="-2"/>
                <w:sz w:val="20"/>
                <w:szCs w:val="20"/>
              </w:rPr>
              <w:t>d</w:t>
            </w:r>
            <w:r w:rsidRPr="0035351F">
              <w:rPr>
                <w:sz w:val="20"/>
                <w:szCs w:val="20"/>
              </w:rPr>
              <w:t>es</w:t>
            </w:r>
            <w:r w:rsidRPr="0035351F">
              <w:rPr>
                <w:spacing w:val="1"/>
                <w:sz w:val="20"/>
                <w:szCs w:val="20"/>
              </w:rPr>
              <w:t>i</w:t>
            </w:r>
            <w:r w:rsidRPr="0035351F">
              <w:rPr>
                <w:spacing w:val="-2"/>
                <w:sz w:val="20"/>
                <w:szCs w:val="20"/>
              </w:rPr>
              <w:t>g</w:t>
            </w:r>
            <w:r w:rsidRPr="0035351F">
              <w:rPr>
                <w:sz w:val="20"/>
                <w:szCs w:val="20"/>
              </w:rPr>
              <w:t>n, i</w:t>
            </w:r>
            <w:r w:rsidRPr="0035351F">
              <w:rPr>
                <w:spacing w:val="-4"/>
                <w:sz w:val="20"/>
                <w:szCs w:val="20"/>
              </w:rPr>
              <w:t>m</w:t>
            </w:r>
            <w:r w:rsidRPr="0035351F">
              <w:rPr>
                <w:sz w:val="20"/>
                <w:szCs w:val="20"/>
              </w:rPr>
              <w:t>p</w:t>
            </w:r>
            <w:r w:rsidRPr="0035351F">
              <w:rPr>
                <w:spacing w:val="1"/>
                <w:sz w:val="20"/>
                <w:szCs w:val="20"/>
              </w:rPr>
              <w:t>l</w:t>
            </w:r>
            <w:r w:rsidRPr="0035351F">
              <w:rPr>
                <w:sz w:val="20"/>
                <w:szCs w:val="20"/>
              </w:rPr>
              <w:t>e</w:t>
            </w:r>
            <w:r w:rsidRPr="0035351F">
              <w:rPr>
                <w:spacing w:val="-4"/>
                <w:sz w:val="20"/>
                <w:szCs w:val="20"/>
              </w:rPr>
              <w:t>m</w:t>
            </w:r>
            <w:r w:rsidRPr="0035351F">
              <w:rPr>
                <w:sz w:val="20"/>
                <w:szCs w:val="20"/>
              </w:rPr>
              <w:t>en</w:t>
            </w:r>
            <w:r w:rsidRPr="0035351F">
              <w:rPr>
                <w:spacing w:val="1"/>
                <w:sz w:val="20"/>
                <w:szCs w:val="20"/>
              </w:rPr>
              <w:t>t</w:t>
            </w:r>
            <w:r w:rsidRPr="0035351F">
              <w:rPr>
                <w:spacing w:val="-2"/>
                <w:sz w:val="20"/>
                <w:szCs w:val="20"/>
              </w:rPr>
              <w:t>a</w:t>
            </w:r>
            <w:r w:rsidRPr="0035351F">
              <w:rPr>
                <w:spacing w:val="1"/>
                <w:sz w:val="20"/>
                <w:szCs w:val="20"/>
              </w:rPr>
              <w:t>ti</w:t>
            </w:r>
            <w:r w:rsidRPr="0035351F">
              <w:rPr>
                <w:spacing w:val="-2"/>
                <w:sz w:val="20"/>
                <w:szCs w:val="20"/>
              </w:rPr>
              <w:t>o</w:t>
            </w:r>
            <w:r w:rsidRPr="0035351F">
              <w:rPr>
                <w:sz w:val="20"/>
                <w:szCs w:val="20"/>
              </w:rPr>
              <w:t>n and o</w:t>
            </w:r>
            <w:r w:rsidRPr="0035351F">
              <w:rPr>
                <w:spacing w:val="-2"/>
                <w:sz w:val="20"/>
                <w:szCs w:val="20"/>
              </w:rPr>
              <w:t>p</w:t>
            </w:r>
            <w:r w:rsidRPr="0035351F">
              <w:rPr>
                <w:sz w:val="20"/>
                <w:szCs w:val="20"/>
              </w:rPr>
              <w:t>e</w:t>
            </w:r>
            <w:r w:rsidRPr="0035351F">
              <w:rPr>
                <w:spacing w:val="1"/>
                <w:sz w:val="20"/>
                <w:szCs w:val="20"/>
              </w:rPr>
              <w:t>r</w:t>
            </w:r>
            <w:r w:rsidRPr="0035351F">
              <w:rPr>
                <w:spacing w:val="-2"/>
                <w:sz w:val="20"/>
                <w:szCs w:val="20"/>
              </w:rPr>
              <w:t>a</w:t>
            </w:r>
            <w:r w:rsidRPr="0035351F">
              <w:rPr>
                <w:spacing w:val="1"/>
                <w:sz w:val="20"/>
                <w:szCs w:val="20"/>
              </w:rPr>
              <w:t>t</w:t>
            </w:r>
            <w:r w:rsidRPr="0035351F">
              <w:rPr>
                <w:spacing w:val="-1"/>
                <w:sz w:val="20"/>
                <w:szCs w:val="20"/>
              </w:rPr>
              <w:t>i</w:t>
            </w:r>
            <w:r w:rsidRPr="0035351F">
              <w:rPr>
                <w:sz w:val="20"/>
                <w:szCs w:val="20"/>
              </w:rPr>
              <w:t>ng</w:t>
            </w:r>
            <w:r w:rsidRPr="0035351F">
              <w:rPr>
                <w:spacing w:val="-2"/>
                <w:sz w:val="20"/>
                <w:szCs w:val="20"/>
              </w:rPr>
              <w:t xml:space="preserve"> </w:t>
            </w:r>
            <w:r w:rsidRPr="0035351F">
              <w:rPr>
                <w:sz w:val="20"/>
                <w:szCs w:val="20"/>
              </w:rPr>
              <w:t>e</w:t>
            </w:r>
            <w:r w:rsidRPr="0035351F">
              <w:rPr>
                <w:spacing w:val="1"/>
                <w:sz w:val="20"/>
                <w:szCs w:val="20"/>
              </w:rPr>
              <w:t>ff</w:t>
            </w:r>
            <w:r w:rsidRPr="0035351F">
              <w:rPr>
                <w:spacing w:val="-2"/>
                <w:sz w:val="20"/>
                <w:szCs w:val="20"/>
              </w:rPr>
              <w:t>e</w:t>
            </w:r>
            <w:r w:rsidRPr="0035351F">
              <w:rPr>
                <w:sz w:val="20"/>
                <w:szCs w:val="20"/>
              </w:rPr>
              <w:t>c</w:t>
            </w:r>
            <w:r w:rsidRPr="0035351F">
              <w:rPr>
                <w:spacing w:val="-1"/>
                <w:sz w:val="20"/>
                <w:szCs w:val="20"/>
              </w:rPr>
              <w:t>t</w:t>
            </w:r>
            <w:r w:rsidRPr="0035351F">
              <w:rPr>
                <w:spacing w:val="1"/>
                <w:sz w:val="20"/>
                <w:szCs w:val="20"/>
              </w:rPr>
              <w:t>i</w:t>
            </w:r>
            <w:r w:rsidRPr="0035351F">
              <w:rPr>
                <w:spacing w:val="-2"/>
                <w:sz w:val="20"/>
                <w:szCs w:val="20"/>
              </w:rPr>
              <w:t>v</w:t>
            </w:r>
            <w:r w:rsidRPr="0035351F">
              <w:rPr>
                <w:sz w:val="20"/>
                <w:szCs w:val="20"/>
              </w:rPr>
              <w:t>en</w:t>
            </w:r>
            <w:r w:rsidRPr="0035351F">
              <w:rPr>
                <w:spacing w:val="-2"/>
                <w:sz w:val="20"/>
                <w:szCs w:val="20"/>
              </w:rPr>
              <w:t>e</w:t>
            </w:r>
            <w:r w:rsidRPr="0035351F">
              <w:rPr>
                <w:sz w:val="20"/>
                <w:szCs w:val="20"/>
              </w:rPr>
              <w:t>ss</w:t>
            </w:r>
            <w:r w:rsidRPr="0035351F">
              <w:rPr>
                <w:spacing w:val="1"/>
                <w:sz w:val="20"/>
                <w:szCs w:val="20"/>
              </w:rPr>
              <w:t xml:space="preserve"> </w:t>
            </w:r>
            <w:r w:rsidRPr="0035351F">
              <w:rPr>
                <w:sz w:val="20"/>
                <w:szCs w:val="20"/>
              </w:rPr>
              <w:t>of</w:t>
            </w:r>
            <w:r w:rsidRPr="0035351F">
              <w:rPr>
                <w:spacing w:val="-1"/>
                <w:sz w:val="20"/>
                <w:szCs w:val="20"/>
              </w:rPr>
              <w:t xml:space="preserve"> </w:t>
            </w:r>
            <w:r w:rsidRPr="0035351F">
              <w:rPr>
                <w:sz w:val="20"/>
                <w:szCs w:val="20"/>
              </w:rPr>
              <w:t>co</w:t>
            </w:r>
            <w:r w:rsidRPr="0035351F">
              <w:rPr>
                <w:spacing w:val="-2"/>
                <w:sz w:val="20"/>
                <w:szCs w:val="20"/>
              </w:rPr>
              <w:t>n</w:t>
            </w:r>
            <w:r w:rsidRPr="0035351F">
              <w:rPr>
                <w:spacing w:val="1"/>
                <w:sz w:val="20"/>
                <w:szCs w:val="20"/>
              </w:rPr>
              <w:t>tr</w:t>
            </w:r>
            <w:r w:rsidRPr="0035351F">
              <w:rPr>
                <w:spacing w:val="-2"/>
                <w:sz w:val="20"/>
                <w:szCs w:val="20"/>
              </w:rPr>
              <w:t>o</w:t>
            </w:r>
            <w:r w:rsidRPr="0035351F">
              <w:rPr>
                <w:spacing w:val="1"/>
                <w:sz w:val="20"/>
                <w:szCs w:val="20"/>
              </w:rPr>
              <w:t>l</w:t>
            </w:r>
            <w:r w:rsidRPr="0035351F">
              <w:rPr>
                <w:sz w:val="20"/>
                <w:szCs w:val="20"/>
              </w:rPr>
              <w:t>s</w:t>
            </w:r>
            <w:r w:rsidRPr="0035351F">
              <w:rPr>
                <w:spacing w:val="-2"/>
                <w:sz w:val="20"/>
                <w:szCs w:val="20"/>
              </w:rPr>
              <w:t xml:space="preserve"> identified </w:t>
            </w:r>
            <w:r w:rsidRPr="0035351F">
              <w:rPr>
                <w:spacing w:val="1"/>
                <w:sz w:val="20"/>
                <w:szCs w:val="20"/>
              </w:rPr>
              <w:t>i</w:t>
            </w:r>
            <w:r w:rsidRPr="0035351F">
              <w:rPr>
                <w:sz w:val="20"/>
                <w:szCs w:val="20"/>
              </w:rPr>
              <w:t xml:space="preserve">n </w:t>
            </w:r>
            <w:r w:rsidRPr="0035351F">
              <w:rPr>
                <w:spacing w:val="-1"/>
                <w:sz w:val="20"/>
                <w:szCs w:val="20"/>
              </w:rPr>
              <w:t>t</w:t>
            </w:r>
            <w:r w:rsidRPr="0035351F">
              <w:rPr>
                <w:sz w:val="20"/>
                <w:szCs w:val="20"/>
              </w:rPr>
              <w:t>he</w:t>
            </w:r>
            <w:r w:rsidRPr="0035351F">
              <w:rPr>
                <w:spacing w:val="-2"/>
                <w:sz w:val="20"/>
                <w:szCs w:val="20"/>
              </w:rPr>
              <w:t xml:space="preserve"> </w:t>
            </w:r>
            <w:r w:rsidRPr="0035351F">
              <w:rPr>
                <w:spacing w:val="1"/>
                <w:sz w:val="20"/>
                <w:szCs w:val="20"/>
              </w:rPr>
              <w:t>preparation of the Economical balance sheet</w:t>
            </w:r>
            <w:r w:rsidRPr="0035351F">
              <w:rPr>
                <w:sz w:val="20"/>
                <w:szCs w:val="20"/>
              </w:rPr>
              <w:t>.</w:t>
            </w:r>
          </w:p>
          <w:p w14:paraId="236DEFF9" w14:textId="77777777" w:rsidR="0042368D" w:rsidRPr="0035351F" w:rsidRDefault="0042368D" w:rsidP="00F97390">
            <w:pPr>
              <w:spacing w:line="241" w:lineRule="auto"/>
              <w:ind w:right="529"/>
              <w:rPr>
                <w:sz w:val="20"/>
                <w:szCs w:val="20"/>
              </w:rPr>
            </w:pPr>
          </w:p>
        </w:tc>
        <w:tc>
          <w:tcPr>
            <w:tcW w:w="2639" w:type="dxa"/>
            <w:vMerge/>
          </w:tcPr>
          <w:p w14:paraId="4B9BE552" w14:textId="77777777" w:rsidR="0042368D" w:rsidRPr="0035351F" w:rsidRDefault="0042368D" w:rsidP="00F97390">
            <w:pPr>
              <w:pStyle w:val="Tabletext"/>
              <w:rPr>
                <w:sz w:val="20"/>
              </w:rPr>
            </w:pPr>
          </w:p>
        </w:tc>
      </w:tr>
    </w:tbl>
    <w:p w14:paraId="7CFF2C88" w14:textId="77777777" w:rsidR="0042368D" w:rsidRDefault="0042368D" w:rsidP="0042368D"/>
    <w:p w14:paraId="645C4D33" w14:textId="77777777" w:rsidR="0042368D" w:rsidRDefault="0042368D" w:rsidP="0042368D"/>
    <w:p w14:paraId="440A77AB" w14:textId="77777777" w:rsidR="0042368D" w:rsidRDefault="0042368D" w:rsidP="0042368D"/>
    <w:p w14:paraId="609DA24D" w14:textId="77777777" w:rsidR="0042368D" w:rsidRDefault="0042368D" w:rsidP="0042368D"/>
    <w:p w14:paraId="1A68533E" w14:textId="77777777" w:rsidR="0042368D" w:rsidRDefault="0042368D" w:rsidP="0042368D">
      <w:r>
        <w:rPr>
          <w:b/>
        </w:rPr>
        <w:br w:type="page"/>
      </w:r>
    </w:p>
    <w:tbl>
      <w:tblPr>
        <w:tblpPr w:leftFromText="141" w:rightFromText="141" w:vertAnchor="text" w:tblpY="1"/>
        <w:tblOverlap w:val="never"/>
        <w:tblW w:w="12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4760"/>
        <w:gridCol w:w="1418"/>
        <w:gridCol w:w="2716"/>
        <w:gridCol w:w="2245"/>
        <w:gridCol w:w="632"/>
      </w:tblGrid>
      <w:tr w:rsidR="0042368D" w:rsidRPr="0063699D" w14:paraId="5B367334" w14:textId="77777777" w:rsidTr="00F97390">
        <w:trPr>
          <w:trHeight w:val="144"/>
          <w:tblHeader/>
        </w:trPr>
        <w:tc>
          <w:tcPr>
            <w:tcW w:w="1018" w:type="dxa"/>
            <w:vAlign w:val="bottom"/>
          </w:tcPr>
          <w:p w14:paraId="2F4E4140" w14:textId="77777777" w:rsidR="0042368D" w:rsidRPr="0063699D" w:rsidRDefault="0042368D" w:rsidP="00F97390">
            <w:pPr>
              <w:pStyle w:val="Tableheading"/>
              <w:jc w:val="center"/>
              <w:rPr>
                <w:sz w:val="18"/>
                <w:szCs w:val="18"/>
              </w:rPr>
            </w:pPr>
            <w:r w:rsidRPr="0063699D">
              <w:rPr>
                <w:sz w:val="18"/>
                <w:szCs w:val="18"/>
              </w:rPr>
              <w:lastRenderedPageBreak/>
              <w:t>AP Reference</w:t>
            </w:r>
          </w:p>
        </w:tc>
        <w:tc>
          <w:tcPr>
            <w:tcW w:w="4760" w:type="dxa"/>
            <w:vAlign w:val="bottom"/>
          </w:tcPr>
          <w:p w14:paraId="6829F1EA" w14:textId="77777777" w:rsidR="0042368D" w:rsidRPr="0063699D" w:rsidRDefault="0042368D" w:rsidP="00F97390">
            <w:pPr>
              <w:pStyle w:val="Tableheading"/>
              <w:jc w:val="center"/>
            </w:pPr>
            <w:r w:rsidRPr="0063699D">
              <w:t>Nature, timing and extent of audit/assurance procedures</w:t>
            </w:r>
          </w:p>
        </w:tc>
        <w:tc>
          <w:tcPr>
            <w:tcW w:w="1418" w:type="dxa"/>
            <w:tcBorders>
              <w:bottom w:val="single" w:sz="4" w:space="0" w:color="auto"/>
            </w:tcBorders>
            <w:vAlign w:val="bottom"/>
          </w:tcPr>
          <w:p w14:paraId="2C328AA8" w14:textId="77777777" w:rsidR="0042368D" w:rsidRPr="0063699D" w:rsidRDefault="0042368D" w:rsidP="00F97390">
            <w:pPr>
              <w:pStyle w:val="Tableheading"/>
              <w:jc w:val="center"/>
            </w:pPr>
            <w:r w:rsidRPr="0063699D">
              <w:t>Significant</w:t>
            </w:r>
            <w:r w:rsidRPr="0063699D">
              <w:br/>
              <w:t>account /</w:t>
            </w:r>
            <w:r w:rsidRPr="0063699D">
              <w:br/>
              <w:t>disclosure</w:t>
            </w:r>
          </w:p>
        </w:tc>
        <w:tc>
          <w:tcPr>
            <w:tcW w:w="2716" w:type="dxa"/>
            <w:tcBorders>
              <w:bottom w:val="single" w:sz="4" w:space="0" w:color="auto"/>
            </w:tcBorders>
            <w:vAlign w:val="bottom"/>
          </w:tcPr>
          <w:p w14:paraId="29FE110B" w14:textId="77777777" w:rsidR="004A2231" w:rsidRDefault="004A2231" w:rsidP="00F97390">
            <w:pPr>
              <w:pStyle w:val="Tableheading"/>
              <w:jc w:val="center"/>
              <w:rPr>
                <w:bCs/>
              </w:rPr>
            </w:pPr>
          </w:p>
          <w:p w14:paraId="12E0ADD0" w14:textId="77777777" w:rsidR="004A2231" w:rsidRDefault="004A2231" w:rsidP="00F97390">
            <w:pPr>
              <w:pStyle w:val="Tableheading"/>
              <w:jc w:val="center"/>
              <w:rPr>
                <w:bCs/>
              </w:rPr>
            </w:pPr>
          </w:p>
          <w:p w14:paraId="5078BDBB" w14:textId="396579A1" w:rsidR="0042368D" w:rsidRPr="0063699D" w:rsidRDefault="0042368D" w:rsidP="00F97390">
            <w:pPr>
              <w:pStyle w:val="Tableheading"/>
              <w:jc w:val="center"/>
            </w:pPr>
            <w:r>
              <w:rPr>
                <w:bCs/>
              </w:rPr>
              <w:t xml:space="preserve">Reference to Solvency II </w:t>
            </w:r>
            <w:r w:rsidR="004A2231">
              <w:rPr>
                <w:bCs/>
              </w:rPr>
              <w:t>regulations</w:t>
            </w:r>
          </w:p>
        </w:tc>
        <w:tc>
          <w:tcPr>
            <w:tcW w:w="2245" w:type="dxa"/>
            <w:tcBorders>
              <w:bottom w:val="single" w:sz="4" w:space="0" w:color="auto"/>
            </w:tcBorders>
            <w:vAlign w:val="bottom"/>
          </w:tcPr>
          <w:p w14:paraId="43139F7A" w14:textId="77777777" w:rsidR="0042368D" w:rsidRPr="0063699D" w:rsidRDefault="0042368D" w:rsidP="00F97390">
            <w:pPr>
              <w:pStyle w:val="Tableheading"/>
              <w:jc w:val="center"/>
            </w:pPr>
            <w:r w:rsidRPr="0063699D">
              <w:t>Done by and date</w:t>
            </w:r>
          </w:p>
        </w:tc>
        <w:tc>
          <w:tcPr>
            <w:tcW w:w="632" w:type="dxa"/>
            <w:tcBorders>
              <w:bottom w:val="single" w:sz="4" w:space="0" w:color="auto"/>
            </w:tcBorders>
            <w:vAlign w:val="bottom"/>
          </w:tcPr>
          <w:p w14:paraId="62D9DE6A" w14:textId="77777777" w:rsidR="0042368D" w:rsidRPr="0063699D" w:rsidRDefault="0042368D" w:rsidP="00F97390">
            <w:pPr>
              <w:pStyle w:val="Tableheading"/>
              <w:jc w:val="center"/>
            </w:pPr>
            <w:r w:rsidRPr="0063699D">
              <w:t>W/P</w:t>
            </w:r>
            <w:r w:rsidRPr="0063699D">
              <w:br/>
              <w:t>Ref</w:t>
            </w:r>
          </w:p>
        </w:tc>
      </w:tr>
      <w:tr w:rsidR="0042368D" w:rsidRPr="0063699D" w14:paraId="025107AA" w14:textId="77777777" w:rsidTr="00F97390">
        <w:trPr>
          <w:trHeight w:val="144"/>
        </w:trPr>
        <w:tc>
          <w:tcPr>
            <w:tcW w:w="1018" w:type="dxa"/>
            <w:shd w:val="clear" w:color="auto" w:fill="auto"/>
          </w:tcPr>
          <w:p w14:paraId="0FD0AEFD" w14:textId="77777777" w:rsidR="0042368D" w:rsidRPr="00FC50D5" w:rsidRDefault="0042368D" w:rsidP="00F97390">
            <w:pPr>
              <w:pStyle w:val="Tabletext"/>
              <w:rPr>
                <w:b/>
                <w:i/>
              </w:rPr>
            </w:pPr>
          </w:p>
        </w:tc>
        <w:tc>
          <w:tcPr>
            <w:tcW w:w="4760" w:type="dxa"/>
            <w:shd w:val="clear" w:color="auto" w:fill="auto"/>
          </w:tcPr>
          <w:p w14:paraId="53D5C8F8" w14:textId="77777777" w:rsidR="0042368D" w:rsidRPr="00FC50D5" w:rsidRDefault="0042368D" w:rsidP="00F97390">
            <w:pPr>
              <w:pStyle w:val="Tabletext"/>
              <w:rPr>
                <w:sz w:val="18"/>
                <w:szCs w:val="18"/>
              </w:rPr>
            </w:pPr>
            <w:r w:rsidRPr="00FC50D5">
              <w:rPr>
                <w:b/>
                <w:i/>
                <w:sz w:val="18"/>
                <w:szCs w:val="18"/>
              </w:rPr>
              <w:t>Substantive analytical procedures</w:t>
            </w:r>
          </w:p>
        </w:tc>
        <w:tc>
          <w:tcPr>
            <w:tcW w:w="1418" w:type="dxa"/>
            <w:shd w:val="clear" w:color="auto" w:fill="auto"/>
          </w:tcPr>
          <w:p w14:paraId="4B8BC09D" w14:textId="77777777" w:rsidR="0042368D" w:rsidRPr="00FC50D5" w:rsidRDefault="0042368D" w:rsidP="00F97390">
            <w:pPr>
              <w:pStyle w:val="Tabletext"/>
              <w:rPr>
                <w:sz w:val="18"/>
                <w:szCs w:val="18"/>
              </w:rPr>
            </w:pPr>
          </w:p>
        </w:tc>
        <w:tc>
          <w:tcPr>
            <w:tcW w:w="2716" w:type="dxa"/>
            <w:shd w:val="clear" w:color="auto" w:fill="auto"/>
          </w:tcPr>
          <w:p w14:paraId="4B691DCD" w14:textId="77777777" w:rsidR="0042368D" w:rsidRPr="00FC50D5" w:rsidRDefault="0042368D" w:rsidP="00F97390">
            <w:pPr>
              <w:pStyle w:val="Tabletext"/>
              <w:rPr>
                <w:sz w:val="18"/>
                <w:szCs w:val="18"/>
              </w:rPr>
            </w:pPr>
          </w:p>
        </w:tc>
        <w:tc>
          <w:tcPr>
            <w:tcW w:w="2245" w:type="dxa"/>
            <w:shd w:val="clear" w:color="auto" w:fill="auto"/>
          </w:tcPr>
          <w:p w14:paraId="1AA9285A" w14:textId="77777777" w:rsidR="0042368D" w:rsidRPr="00FC50D5" w:rsidRDefault="0042368D" w:rsidP="00F97390">
            <w:pPr>
              <w:pStyle w:val="Tabletext"/>
              <w:rPr>
                <w:sz w:val="18"/>
                <w:szCs w:val="18"/>
              </w:rPr>
            </w:pPr>
          </w:p>
        </w:tc>
        <w:tc>
          <w:tcPr>
            <w:tcW w:w="632" w:type="dxa"/>
            <w:shd w:val="clear" w:color="auto" w:fill="auto"/>
          </w:tcPr>
          <w:p w14:paraId="667DC73B" w14:textId="77777777" w:rsidR="0042368D" w:rsidRPr="00FC50D5" w:rsidRDefault="0042368D" w:rsidP="00F97390">
            <w:pPr>
              <w:pStyle w:val="Tabletext"/>
              <w:rPr>
                <w:sz w:val="18"/>
                <w:szCs w:val="18"/>
              </w:rPr>
            </w:pPr>
          </w:p>
        </w:tc>
      </w:tr>
      <w:tr w:rsidR="0042368D" w:rsidRPr="0063699D" w14:paraId="24106840" w14:textId="77777777" w:rsidTr="00F97390">
        <w:trPr>
          <w:trHeight w:val="144"/>
        </w:trPr>
        <w:tc>
          <w:tcPr>
            <w:tcW w:w="1018" w:type="dxa"/>
          </w:tcPr>
          <w:p w14:paraId="799FC771" w14:textId="77777777" w:rsidR="0042368D" w:rsidRPr="0063699D" w:rsidRDefault="0042368D" w:rsidP="00F97390">
            <w:pPr>
              <w:pStyle w:val="Tabletext"/>
            </w:pPr>
          </w:p>
        </w:tc>
        <w:tc>
          <w:tcPr>
            <w:tcW w:w="4760" w:type="dxa"/>
          </w:tcPr>
          <w:p w14:paraId="01B32D39" w14:textId="77777777" w:rsidR="0042368D" w:rsidRPr="00BD0EF2" w:rsidRDefault="0042368D" w:rsidP="00F97390">
            <w:pPr>
              <w:pStyle w:val="Tabletext"/>
              <w:rPr>
                <w:sz w:val="18"/>
                <w:szCs w:val="18"/>
              </w:rPr>
            </w:pPr>
            <w:r w:rsidRPr="00BD0EF2">
              <w:rPr>
                <w:sz w:val="18"/>
                <w:szCs w:val="18"/>
              </w:rPr>
              <w:t>No substantive analytical procedures to be performed (covered by section “Internal Controls”)</w:t>
            </w:r>
          </w:p>
        </w:tc>
        <w:tc>
          <w:tcPr>
            <w:tcW w:w="1418" w:type="dxa"/>
          </w:tcPr>
          <w:p w14:paraId="51DA8ECA" w14:textId="77777777" w:rsidR="0042368D" w:rsidRPr="00BD0EF2" w:rsidRDefault="0042368D" w:rsidP="00F97390">
            <w:pPr>
              <w:pStyle w:val="Tabletext"/>
              <w:rPr>
                <w:bCs/>
                <w:sz w:val="18"/>
                <w:szCs w:val="18"/>
              </w:rPr>
            </w:pPr>
          </w:p>
        </w:tc>
        <w:tc>
          <w:tcPr>
            <w:tcW w:w="2716" w:type="dxa"/>
          </w:tcPr>
          <w:p w14:paraId="48A4C63C" w14:textId="77777777" w:rsidR="0042368D" w:rsidRPr="00BD0EF2" w:rsidRDefault="0042368D" w:rsidP="00F97390">
            <w:pPr>
              <w:pStyle w:val="Tabletext"/>
              <w:rPr>
                <w:bCs/>
                <w:sz w:val="18"/>
                <w:szCs w:val="18"/>
              </w:rPr>
            </w:pPr>
          </w:p>
        </w:tc>
        <w:tc>
          <w:tcPr>
            <w:tcW w:w="2245" w:type="dxa"/>
          </w:tcPr>
          <w:p w14:paraId="7455B706" w14:textId="77777777" w:rsidR="0042368D" w:rsidRPr="00BD0EF2" w:rsidRDefault="0042368D" w:rsidP="00F97390">
            <w:pPr>
              <w:pStyle w:val="Tabletext"/>
              <w:rPr>
                <w:bCs/>
                <w:sz w:val="18"/>
                <w:szCs w:val="18"/>
              </w:rPr>
            </w:pPr>
          </w:p>
        </w:tc>
        <w:tc>
          <w:tcPr>
            <w:tcW w:w="632" w:type="dxa"/>
          </w:tcPr>
          <w:p w14:paraId="175B491C" w14:textId="77777777" w:rsidR="0042368D" w:rsidRPr="00BD0EF2" w:rsidRDefault="0042368D" w:rsidP="00F97390">
            <w:pPr>
              <w:pStyle w:val="Tabletext"/>
              <w:rPr>
                <w:bCs/>
                <w:sz w:val="18"/>
                <w:szCs w:val="18"/>
              </w:rPr>
            </w:pPr>
          </w:p>
        </w:tc>
      </w:tr>
      <w:tr w:rsidR="0042368D" w:rsidRPr="0063699D" w14:paraId="673C897B" w14:textId="77777777" w:rsidTr="00F97390">
        <w:trPr>
          <w:trHeight w:val="144"/>
        </w:trPr>
        <w:tc>
          <w:tcPr>
            <w:tcW w:w="1018" w:type="dxa"/>
          </w:tcPr>
          <w:p w14:paraId="247C381E" w14:textId="77777777" w:rsidR="0042368D" w:rsidRPr="0063699D" w:rsidRDefault="0042368D" w:rsidP="00F97390">
            <w:pPr>
              <w:pStyle w:val="Tabletext"/>
              <w:rPr>
                <w:b/>
                <w:i/>
              </w:rPr>
            </w:pPr>
          </w:p>
        </w:tc>
        <w:tc>
          <w:tcPr>
            <w:tcW w:w="4760" w:type="dxa"/>
          </w:tcPr>
          <w:p w14:paraId="4C819AB5" w14:textId="77777777" w:rsidR="0042368D" w:rsidRPr="00BD0EF2" w:rsidRDefault="0042368D" w:rsidP="00F97390">
            <w:pPr>
              <w:pStyle w:val="Tabletext"/>
              <w:rPr>
                <w:sz w:val="18"/>
                <w:szCs w:val="18"/>
              </w:rPr>
            </w:pPr>
            <w:r w:rsidRPr="00BD0EF2">
              <w:rPr>
                <w:b/>
                <w:i/>
                <w:sz w:val="18"/>
                <w:szCs w:val="18"/>
              </w:rPr>
              <w:t>Tests of details</w:t>
            </w:r>
          </w:p>
        </w:tc>
        <w:tc>
          <w:tcPr>
            <w:tcW w:w="1418" w:type="dxa"/>
            <w:shd w:val="clear" w:color="auto" w:fill="D9D9D9"/>
          </w:tcPr>
          <w:p w14:paraId="2318FA5B" w14:textId="77777777" w:rsidR="0042368D" w:rsidRPr="00BD0EF2" w:rsidRDefault="0042368D" w:rsidP="00F97390">
            <w:pPr>
              <w:pStyle w:val="Tabletext"/>
              <w:rPr>
                <w:sz w:val="18"/>
                <w:szCs w:val="18"/>
              </w:rPr>
            </w:pPr>
          </w:p>
        </w:tc>
        <w:tc>
          <w:tcPr>
            <w:tcW w:w="2716" w:type="dxa"/>
            <w:shd w:val="clear" w:color="auto" w:fill="D9D9D9"/>
          </w:tcPr>
          <w:p w14:paraId="10493E6B" w14:textId="77777777" w:rsidR="0042368D" w:rsidRPr="00BD0EF2" w:rsidRDefault="0042368D" w:rsidP="00F97390">
            <w:pPr>
              <w:pStyle w:val="Tabletext"/>
              <w:rPr>
                <w:sz w:val="18"/>
                <w:szCs w:val="18"/>
              </w:rPr>
            </w:pPr>
          </w:p>
        </w:tc>
        <w:tc>
          <w:tcPr>
            <w:tcW w:w="2245" w:type="dxa"/>
            <w:shd w:val="clear" w:color="auto" w:fill="D9D9D9"/>
          </w:tcPr>
          <w:p w14:paraId="64EC3BAD" w14:textId="77777777" w:rsidR="0042368D" w:rsidRPr="00BD0EF2" w:rsidRDefault="0042368D" w:rsidP="00F97390">
            <w:pPr>
              <w:pStyle w:val="Tabletext"/>
              <w:rPr>
                <w:sz w:val="18"/>
                <w:szCs w:val="18"/>
              </w:rPr>
            </w:pPr>
          </w:p>
        </w:tc>
        <w:tc>
          <w:tcPr>
            <w:tcW w:w="632" w:type="dxa"/>
            <w:shd w:val="clear" w:color="auto" w:fill="D9D9D9"/>
          </w:tcPr>
          <w:p w14:paraId="55BA4D83" w14:textId="77777777" w:rsidR="0042368D" w:rsidRPr="00BD0EF2" w:rsidRDefault="0042368D" w:rsidP="00F97390">
            <w:pPr>
              <w:pStyle w:val="Tabletext"/>
              <w:rPr>
                <w:sz w:val="18"/>
                <w:szCs w:val="18"/>
              </w:rPr>
            </w:pPr>
          </w:p>
        </w:tc>
      </w:tr>
      <w:tr w:rsidR="0042368D" w:rsidRPr="0063699D" w14:paraId="33087BD3" w14:textId="77777777" w:rsidTr="00F97390">
        <w:trPr>
          <w:trHeight w:val="1185"/>
        </w:trPr>
        <w:tc>
          <w:tcPr>
            <w:tcW w:w="1018" w:type="dxa"/>
            <w:shd w:val="clear" w:color="auto" w:fill="auto"/>
          </w:tcPr>
          <w:p w14:paraId="18732D4C" w14:textId="77777777" w:rsidR="0042368D" w:rsidRPr="00BD0EF2" w:rsidRDefault="0042368D" w:rsidP="00F97390">
            <w:pPr>
              <w:pStyle w:val="Tabletext"/>
              <w:jc w:val="center"/>
              <w:rPr>
                <w:sz w:val="18"/>
                <w:szCs w:val="18"/>
              </w:rPr>
            </w:pPr>
            <w:r w:rsidRPr="00BD0EF2">
              <w:rPr>
                <w:sz w:val="18"/>
                <w:szCs w:val="18"/>
              </w:rPr>
              <w:t>1</w:t>
            </w:r>
          </w:p>
        </w:tc>
        <w:tc>
          <w:tcPr>
            <w:tcW w:w="4760" w:type="dxa"/>
            <w:shd w:val="clear" w:color="auto" w:fill="auto"/>
          </w:tcPr>
          <w:p w14:paraId="159D6885" w14:textId="77777777" w:rsidR="0042368D" w:rsidRPr="00BD0EF2" w:rsidRDefault="0042368D" w:rsidP="00F97390">
            <w:pPr>
              <w:pStyle w:val="Default"/>
              <w:spacing w:after="267"/>
              <w:rPr>
                <w:b/>
                <w:sz w:val="18"/>
                <w:szCs w:val="18"/>
                <w:lang w:val="en-US"/>
              </w:rPr>
            </w:pPr>
            <w:r w:rsidRPr="00BD0EF2">
              <w:rPr>
                <w:sz w:val="18"/>
                <w:szCs w:val="18"/>
                <w:lang w:val="en-US"/>
              </w:rPr>
              <w:t>Verify the audit opinion provided on the IFRS or BEGAAP financial statements. In case that a qualified or negative audit opinion has been issued, assess its potential impact on the economical balance sheet and the audit opinion to be issued on the economical balance sheet.</w:t>
            </w:r>
          </w:p>
        </w:tc>
        <w:tc>
          <w:tcPr>
            <w:tcW w:w="1418" w:type="dxa"/>
            <w:shd w:val="clear" w:color="auto" w:fill="auto"/>
          </w:tcPr>
          <w:p w14:paraId="52BF7ABA" w14:textId="77777777" w:rsidR="0042368D" w:rsidRPr="00BD0EF2" w:rsidRDefault="0042368D" w:rsidP="00F97390">
            <w:pPr>
              <w:pStyle w:val="Default"/>
              <w:spacing w:after="267"/>
              <w:rPr>
                <w:sz w:val="18"/>
                <w:szCs w:val="18"/>
                <w:lang w:val="en-US"/>
              </w:rPr>
            </w:pPr>
            <w:r w:rsidRPr="00BD0EF2">
              <w:rPr>
                <w:sz w:val="18"/>
                <w:szCs w:val="18"/>
                <w:lang w:val="en-US"/>
              </w:rPr>
              <w:t>Economical balance sheet</w:t>
            </w:r>
          </w:p>
        </w:tc>
        <w:tc>
          <w:tcPr>
            <w:tcW w:w="2716" w:type="dxa"/>
            <w:shd w:val="clear" w:color="auto" w:fill="auto"/>
          </w:tcPr>
          <w:p w14:paraId="16D40531" w14:textId="77777777" w:rsidR="0042368D" w:rsidRPr="00BD0EF2" w:rsidRDefault="0042368D" w:rsidP="00F97390">
            <w:pPr>
              <w:pStyle w:val="Header"/>
              <w:tabs>
                <w:tab w:val="clear" w:pos="4320"/>
                <w:tab w:val="clear" w:pos="8640"/>
              </w:tabs>
              <w:spacing w:before="60" w:after="60"/>
              <w:jc w:val="center"/>
              <w:rPr>
                <w:sz w:val="18"/>
                <w:szCs w:val="18"/>
              </w:rPr>
            </w:pPr>
          </w:p>
        </w:tc>
        <w:tc>
          <w:tcPr>
            <w:tcW w:w="2245" w:type="dxa"/>
            <w:shd w:val="clear" w:color="auto" w:fill="auto"/>
          </w:tcPr>
          <w:p w14:paraId="5ED7F78D" w14:textId="77777777" w:rsidR="0042368D" w:rsidRPr="00BD0EF2" w:rsidRDefault="0042368D" w:rsidP="00F97390">
            <w:pPr>
              <w:pStyle w:val="Header"/>
              <w:tabs>
                <w:tab w:val="clear" w:pos="4320"/>
                <w:tab w:val="clear" w:pos="8640"/>
              </w:tabs>
              <w:spacing w:before="60" w:after="60"/>
              <w:rPr>
                <w:sz w:val="18"/>
                <w:szCs w:val="18"/>
              </w:rPr>
            </w:pPr>
          </w:p>
        </w:tc>
        <w:tc>
          <w:tcPr>
            <w:tcW w:w="632" w:type="dxa"/>
            <w:shd w:val="clear" w:color="auto" w:fill="auto"/>
          </w:tcPr>
          <w:p w14:paraId="1E40B264" w14:textId="77777777" w:rsidR="0042368D" w:rsidRPr="00BD0EF2" w:rsidRDefault="0042368D" w:rsidP="00F97390">
            <w:pPr>
              <w:pStyle w:val="Header"/>
              <w:tabs>
                <w:tab w:val="clear" w:pos="4320"/>
                <w:tab w:val="clear" w:pos="8640"/>
              </w:tabs>
              <w:spacing w:before="60" w:after="60"/>
              <w:rPr>
                <w:sz w:val="18"/>
                <w:szCs w:val="18"/>
              </w:rPr>
            </w:pPr>
          </w:p>
        </w:tc>
      </w:tr>
      <w:tr w:rsidR="0042368D" w:rsidRPr="0063699D" w14:paraId="2022C878" w14:textId="77777777" w:rsidTr="00F97390">
        <w:trPr>
          <w:trHeight w:val="1099"/>
        </w:trPr>
        <w:tc>
          <w:tcPr>
            <w:tcW w:w="1018" w:type="dxa"/>
            <w:shd w:val="clear" w:color="auto" w:fill="auto"/>
          </w:tcPr>
          <w:p w14:paraId="67830ACB" w14:textId="77777777" w:rsidR="0042368D" w:rsidRPr="00BD0EF2" w:rsidRDefault="0042368D" w:rsidP="00F97390">
            <w:pPr>
              <w:pStyle w:val="Tabletext"/>
              <w:jc w:val="center"/>
              <w:rPr>
                <w:sz w:val="18"/>
                <w:szCs w:val="18"/>
              </w:rPr>
            </w:pPr>
            <w:r w:rsidRPr="00BD0EF2">
              <w:rPr>
                <w:sz w:val="18"/>
                <w:szCs w:val="18"/>
              </w:rPr>
              <w:t>2</w:t>
            </w:r>
          </w:p>
        </w:tc>
        <w:tc>
          <w:tcPr>
            <w:tcW w:w="4760" w:type="dxa"/>
            <w:shd w:val="clear" w:color="auto" w:fill="auto"/>
          </w:tcPr>
          <w:p w14:paraId="2941EFFB" w14:textId="77777777" w:rsidR="0042368D" w:rsidRPr="00BD0EF2" w:rsidRDefault="0042368D" w:rsidP="00F97390">
            <w:pPr>
              <w:pStyle w:val="Default"/>
              <w:spacing w:after="267"/>
              <w:rPr>
                <w:sz w:val="18"/>
                <w:szCs w:val="18"/>
                <w:lang w:val="en-US"/>
              </w:rPr>
            </w:pPr>
            <w:r w:rsidRPr="00BD0EF2">
              <w:rPr>
                <w:sz w:val="18"/>
                <w:szCs w:val="18"/>
                <w:lang w:val="en-US"/>
              </w:rPr>
              <w:t xml:space="preserve">In-depth review and validation of the equity reconciliation prepared by the Company between the IFRS or BEGAAP financial statements and the economical balance sheet. </w:t>
            </w:r>
          </w:p>
        </w:tc>
        <w:tc>
          <w:tcPr>
            <w:tcW w:w="1418" w:type="dxa"/>
            <w:shd w:val="clear" w:color="auto" w:fill="auto"/>
          </w:tcPr>
          <w:p w14:paraId="61A028AE" w14:textId="77777777" w:rsidR="0042368D" w:rsidRPr="00BD0EF2" w:rsidRDefault="0042368D" w:rsidP="00F97390">
            <w:pPr>
              <w:pStyle w:val="Default"/>
              <w:spacing w:after="267"/>
              <w:rPr>
                <w:sz w:val="18"/>
                <w:szCs w:val="18"/>
                <w:lang w:val="en-US"/>
              </w:rPr>
            </w:pPr>
            <w:r w:rsidRPr="00BD0EF2">
              <w:rPr>
                <w:sz w:val="18"/>
                <w:szCs w:val="18"/>
                <w:lang w:val="en-US"/>
              </w:rPr>
              <w:t>Economical balance sheet</w:t>
            </w:r>
          </w:p>
        </w:tc>
        <w:tc>
          <w:tcPr>
            <w:tcW w:w="2716" w:type="dxa"/>
            <w:shd w:val="clear" w:color="auto" w:fill="auto"/>
          </w:tcPr>
          <w:p w14:paraId="58457366" w14:textId="77777777" w:rsidR="0042368D" w:rsidRPr="00BD0EF2" w:rsidRDefault="0042368D" w:rsidP="00F97390">
            <w:pPr>
              <w:pStyle w:val="Header"/>
              <w:tabs>
                <w:tab w:val="clear" w:pos="4320"/>
                <w:tab w:val="clear" w:pos="8640"/>
              </w:tabs>
              <w:spacing w:before="60" w:after="60"/>
              <w:jc w:val="center"/>
              <w:rPr>
                <w:sz w:val="18"/>
                <w:szCs w:val="18"/>
              </w:rPr>
            </w:pPr>
          </w:p>
        </w:tc>
        <w:tc>
          <w:tcPr>
            <w:tcW w:w="2245" w:type="dxa"/>
            <w:shd w:val="clear" w:color="auto" w:fill="auto"/>
          </w:tcPr>
          <w:p w14:paraId="7B69083D" w14:textId="77777777" w:rsidR="0042368D" w:rsidRPr="00BD0EF2" w:rsidRDefault="0042368D" w:rsidP="00F97390">
            <w:pPr>
              <w:pStyle w:val="Header"/>
              <w:tabs>
                <w:tab w:val="clear" w:pos="4320"/>
                <w:tab w:val="clear" w:pos="8640"/>
              </w:tabs>
              <w:spacing w:before="60" w:after="60"/>
              <w:rPr>
                <w:sz w:val="18"/>
                <w:szCs w:val="18"/>
              </w:rPr>
            </w:pPr>
          </w:p>
        </w:tc>
        <w:tc>
          <w:tcPr>
            <w:tcW w:w="632" w:type="dxa"/>
            <w:shd w:val="clear" w:color="auto" w:fill="auto"/>
          </w:tcPr>
          <w:p w14:paraId="076DF37D" w14:textId="77777777" w:rsidR="0042368D" w:rsidRPr="00BD0EF2" w:rsidRDefault="0042368D" w:rsidP="00F97390">
            <w:pPr>
              <w:pStyle w:val="Header"/>
              <w:tabs>
                <w:tab w:val="clear" w:pos="4320"/>
                <w:tab w:val="clear" w:pos="8640"/>
              </w:tabs>
              <w:spacing w:before="60" w:after="60"/>
              <w:rPr>
                <w:sz w:val="18"/>
                <w:szCs w:val="18"/>
              </w:rPr>
            </w:pPr>
          </w:p>
        </w:tc>
      </w:tr>
      <w:tr w:rsidR="0042368D" w:rsidRPr="0063699D" w14:paraId="405B6647" w14:textId="77777777" w:rsidTr="006974AE">
        <w:trPr>
          <w:trHeight w:val="1407"/>
        </w:trPr>
        <w:tc>
          <w:tcPr>
            <w:tcW w:w="1018" w:type="dxa"/>
            <w:shd w:val="clear" w:color="auto" w:fill="auto"/>
          </w:tcPr>
          <w:p w14:paraId="71717710" w14:textId="77777777" w:rsidR="0042368D" w:rsidRPr="00A169AB" w:rsidRDefault="0042368D" w:rsidP="00F97390">
            <w:pPr>
              <w:pStyle w:val="Tabletext"/>
              <w:jc w:val="center"/>
              <w:rPr>
                <w:sz w:val="18"/>
                <w:szCs w:val="18"/>
              </w:rPr>
            </w:pPr>
            <w:r w:rsidRPr="00A169AB">
              <w:rPr>
                <w:sz w:val="18"/>
                <w:szCs w:val="18"/>
              </w:rPr>
              <w:t>3</w:t>
            </w:r>
          </w:p>
        </w:tc>
        <w:tc>
          <w:tcPr>
            <w:tcW w:w="4760" w:type="dxa"/>
            <w:shd w:val="clear" w:color="auto" w:fill="auto"/>
          </w:tcPr>
          <w:p w14:paraId="28F187FE" w14:textId="3720D5A1" w:rsidR="0042368D" w:rsidRDefault="0042368D" w:rsidP="00F97390">
            <w:pPr>
              <w:pStyle w:val="Default"/>
              <w:spacing w:after="267"/>
              <w:rPr>
                <w:sz w:val="18"/>
                <w:szCs w:val="18"/>
                <w:lang w:val="en-US"/>
              </w:rPr>
            </w:pPr>
            <w:r w:rsidRPr="00A169AB">
              <w:rPr>
                <w:sz w:val="18"/>
                <w:szCs w:val="18"/>
                <w:lang w:val="en-US"/>
              </w:rPr>
              <w:t xml:space="preserve">For each item of the economical balance sheet compare the applied measurement with the measurement applied in the audited IFRS or BEGAAP financial statements, and assess whether the deviation (or consistency) is appropriate and in line with the technical specifications (see attachment 1 of this Audit/Assurance program) </w:t>
            </w:r>
            <w:r w:rsidR="00CB088C">
              <w:rPr>
                <w:sz w:val="18"/>
                <w:szCs w:val="18"/>
                <w:lang w:val="en-US"/>
              </w:rPr>
              <w:t xml:space="preserve"> and the related</w:t>
            </w:r>
            <w:r w:rsidR="00812675">
              <w:rPr>
                <w:sz w:val="18"/>
                <w:szCs w:val="18"/>
                <w:lang w:val="en-US"/>
              </w:rPr>
              <w:t xml:space="preserve"> BNB/NBB Circulars</w:t>
            </w:r>
            <w:r w:rsidRPr="00A169AB">
              <w:rPr>
                <w:sz w:val="18"/>
                <w:szCs w:val="18"/>
                <w:lang w:val="en-US"/>
              </w:rPr>
              <w:t>.</w:t>
            </w:r>
            <w:r>
              <w:rPr>
                <w:sz w:val="18"/>
                <w:szCs w:val="18"/>
                <w:lang w:val="en-US"/>
              </w:rPr>
              <w:t xml:space="preserve"> </w:t>
            </w:r>
          </w:p>
          <w:p w14:paraId="54FAD365" w14:textId="77777777" w:rsidR="00EA5C35" w:rsidRPr="00A169AB" w:rsidRDefault="00EA5C35" w:rsidP="00F97390">
            <w:pPr>
              <w:pStyle w:val="Default"/>
              <w:spacing w:after="267"/>
              <w:rPr>
                <w:sz w:val="18"/>
                <w:szCs w:val="18"/>
                <w:lang w:val="en-US"/>
              </w:rPr>
            </w:pPr>
          </w:p>
        </w:tc>
        <w:tc>
          <w:tcPr>
            <w:tcW w:w="1418" w:type="dxa"/>
            <w:shd w:val="clear" w:color="auto" w:fill="auto"/>
          </w:tcPr>
          <w:p w14:paraId="358CA568" w14:textId="77777777" w:rsidR="0042368D" w:rsidRPr="00A169AB" w:rsidRDefault="0042368D" w:rsidP="00F97390">
            <w:pPr>
              <w:pStyle w:val="Default"/>
              <w:spacing w:after="267"/>
              <w:rPr>
                <w:sz w:val="18"/>
                <w:szCs w:val="18"/>
                <w:lang w:val="en-US"/>
              </w:rPr>
            </w:pPr>
            <w:r w:rsidRPr="00A169AB">
              <w:rPr>
                <w:sz w:val="18"/>
                <w:szCs w:val="18"/>
                <w:lang w:val="en-US"/>
              </w:rPr>
              <w:t>Economical balance sheet</w:t>
            </w:r>
          </w:p>
        </w:tc>
        <w:tc>
          <w:tcPr>
            <w:tcW w:w="2716" w:type="dxa"/>
            <w:shd w:val="clear" w:color="auto" w:fill="auto"/>
          </w:tcPr>
          <w:p w14:paraId="6FB246D8" w14:textId="77777777" w:rsidR="0042368D" w:rsidRDefault="0042368D" w:rsidP="00F97390">
            <w:pPr>
              <w:ind w:left="100" w:right="-20"/>
              <w:rPr>
                <w:spacing w:val="-1"/>
                <w:sz w:val="20"/>
                <w:szCs w:val="20"/>
                <w:u w:val="single"/>
              </w:rPr>
            </w:pPr>
            <w:r>
              <w:rPr>
                <w:spacing w:val="-1"/>
                <w:sz w:val="20"/>
                <w:szCs w:val="20"/>
                <w:u w:val="single"/>
              </w:rPr>
              <w:t>General references</w:t>
            </w:r>
          </w:p>
          <w:p w14:paraId="2554B1EC" w14:textId="01B04321" w:rsidR="0042368D" w:rsidRPr="006974AE" w:rsidRDefault="00812675" w:rsidP="0042368D">
            <w:pPr>
              <w:pStyle w:val="Header"/>
              <w:numPr>
                <w:ilvl w:val="0"/>
                <w:numId w:val="2"/>
              </w:numPr>
              <w:spacing w:before="60" w:after="60"/>
              <w:rPr>
                <w:b/>
                <w:sz w:val="18"/>
                <w:szCs w:val="18"/>
                <w:lang w:val="en-GB"/>
              </w:rPr>
            </w:pPr>
            <w:r w:rsidRPr="006974AE">
              <w:rPr>
                <w:b/>
                <w:bCs/>
                <w:sz w:val="18"/>
                <w:szCs w:val="18"/>
                <w:lang w:val="en-GB"/>
              </w:rPr>
              <w:t>BNB/NBB Circular 2016_8</w:t>
            </w:r>
            <w:r w:rsidR="00801B87">
              <w:rPr>
                <w:bCs/>
                <w:sz w:val="18"/>
                <w:szCs w:val="18"/>
                <w:lang w:val="en-GB"/>
              </w:rPr>
              <w:t xml:space="preserve"> and </w:t>
            </w:r>
            <w:r w:rsidR="00801B87" w:rsidRPr="006974AE">
              <w:rPr>
                <w:b/>
                <w:bCs/>
                <w:sz w:val="18"/>
                <w:szCs w:val="18"/>
                <w:lang w:val="en-GB"/>
              </w:rPr>
              <w:t>BNB/NBB Circular 2016_28</w:t>
            </w:r>
          </w:p>
          <w:p w14:paraId="3D3A827A" w14:textId="1E6E7A19" w:rsidR="0042368D" w:rsidRPr="00077B76" w:rsidRDefault="0042368D" w:rsidP="0042368D">
            <w:pPr>
              <w:pStyle w:val="Header"/>
              <w:numPr>
                <w:ilvl w:val="0"/>
                <w:numId w:val="2"/>
              </w:numPr>
              <w:spacing w:before="60" w:after="60"/>
              <w:rPr>
                <w:sz w:val="18"/>
                <w:szCs w:val="18"/>
                <w:lang w:val="en-GB"/>
              </w:rPr>
            </w:pPr>
            <w:r>
              <w:rPr>
                <w:sz w:val="18"/>
                <w:szCs w:val="18"/>
              </w:rPr>
              <w:t>Articles 7 – 16 of the</w:t>
            </w:r>
            <w:r w:rsidRPr="00077B76">
              <w:rPr>
                <w:sz w:val="18"/>
                <w:szCs w:val="18"/>
              </w:rPr>
              <w:t xml:space="preserve"> Delegated</w:t>
            </w:r>
            <w:r w:rsidR="00F55AF9">
              <w:rPr>
                <w:sz w:val="18"/>
                <w:szCs w:val="18"/>
              </w:rPr>
              <w:t xml:space="preserve"> Regulation 2015/35</w:t>
            </w:r>
          </w:p>
          <w:p w14:paraId="0CB4E4CC" w14:textId="633496A3" w:rsidR="0042368D" w:rsidRPr="001F7B8F" w:rsidRDefault="0042368D" w:rsidP="003D38D8">
            <w:pPr>
              <w:pStyle w:val="Header"/>
              <w:spacing w:before="60" w:after="60"/>
              <w:ind w:left="360"/>
              <w:rPr>
                <w:sz w:val="18"/>
                <w:szCs w:val="18"/>
              </w:rPr>
            </w:pPr>
          </w:p>
        </w:tc>
        <w:tc>
          <w:tcPr>
            <w:tcW w:w="2245" w:type="dxa"/>
            <w:shd w:val="clear" w:color="auto" w:fill="auto"/>
          </w:tcPr>
          <w:p w14:paraId="12BA2161" w14:textId="77777777" w:rsidR="0042368D" w:rsidRPr="00BD0EF2" w:rsidRDefault="0042368D" w:rsidP="00F97390">
            <w:pPr>
              <w:pStyle w:val="Header"/>
              <w:tabs>
                <w:tab w:val="clear" w:pos="4320"/>
                <w:tab w:val="clear" w:pos="8640"/>
              </w:tabs>
              <w:spacing w:before="60" w:after="60"/>
              <w:rPr>
                <w:sz w:val="18"/>
                <w:szCs w:val="18"/>
              </w:rPr>
            </w:pPr>
          </w:p>
        </w:tc>
        <w:tc>
          <w:tcPr>
            <w:tcW w:w="632" w:type="dxa"/>
            <w:shd w:val="clear" w:color="auto" w:fill="auto"/>
          </w:tcPr>
          <w:p w14:paraId="099F53B8" w14:textId="77777777" w:rsidR="0042368D" w:rsidRPr="00BD0EF2" w:rsidRDefault="0042368D" w:rsidP="00F97390">
            <w:pPr>
              <w:pStyle w:val="Header"/>
              <w:tabs>
                <w:tab w:val="clear" w:pos="4320"/>
                <w:tab w:val="clear" w:pos="8640"/>
              </w:tabs>
              <w:spacing w:before="60" w:after="60"/>
              <w:rPr>
                <w:sz w:val="18"/>
                <w:szCs w:val="18"/>
              </w:rPr>
            </w:pPr>
          </w:p>
        </w:tc>
      </w:tr>
      <w:tr w:rsidR="00EA5C35" w:rsidRPr="0063699D" w14:paraId="74A23A60" w14:textId="77777777" w:rsidTr="00EA5C35">
        <w:trPr>
          <w:trHeight w:val="1407"/>
        </w:trPr>
        <w:tc>
          <w:tcPr>
            <w:tcW w:w="1018" w:type="dxa"/>
            <w:shd w:val="clear" w:color="auto" w:fill="auto"/>
          </w:tcPr>
          <w:p w14:paraId="0D6F809F" w14:textId="77777777" w:rsidR="00EA5C35" w:rsidRPr="00A169AB" w:rsidRDefault="00EA5C35" w:rsidP="00F97390">
            <w:pPr>
              <w:pStyle w:val="Tabletext"/>
              <w:jc w:val="center"/>
              <w:rPr>
                <w:sz w:val="18"/>
                <w:szCs w:val="18"/>
              </w:rPr>
            </w:pPr>
          </w:p>
        </w:tc>
        <w:tc>
          <w:tcPr>
            <w:tcW w:w="4760" w:type="dxa"/>
            <w:shd w:val="clear" w:color="auto" w:fill="auto"/>
          </w:tcPr>
          <w:p w14:paraId="09A60A8A" w14:textId="77777777" w:rsidR="0067410A" w:rsidRDefault="0067410A" w:rsidP="00F97390">
            <w:pPr>
              <w:pStyle w:val="Default"/>
              <w:spacing w:after="267"/>
              <w:rPr>
                <w:sz w:val="18"/>
                <w:szCs w:val="18"/>
                <w:lang w:val="en-US"/>
              </w:rPr>
            </w:pPr>
            <w:r>
              <w:rPr>
                <w:sz w:val="18"/>
                <w:szCs w:val="18"/>
                <w:lang w:val="en-US"/>
              </w:rPr>
              <w:t>Pay specific attention to the following:</w:t>
            </w:r>
          </w:p>
          <w:p w14:paraId="41EEFB24" w14:textId="238CE058" w:rsidR="00EA5C35" w:rsidRDefault="00EA5C35" w:rsidP="006974AE">
            <w:pPr>
              <w:pStyle w:val="Default"/>
              <w:numPr>
                <w:ilvl w:val="0"/>
                <w:numId w:val="4"/>
              </w:numPr>
              <w:rPr>
                <w:sz w:val="18"/>
                <w:szCs w:val="18"/>
                <w:lang w:val="en-US"/>
              </w:rPr>
            </w:pPr>
            <w:r>
              <w:rPr>
                <w:sz w:val="18"/>
                <w:szCs w:val="18"/>
                <w:lang w:val="en-US"/>
              </w:rPr>
              <w:t xml:space="preserve">all </w:t>
            </w:r>
            <w:proofErr w:type="spellStart"/>
            <w:r>
              <w:rPr>
                <w:sz w:val="18"/>
                <w:szCs w:val="18"/>
                <w:lang w:val="en-US"/>
              </w:rPr>
              <w:t>Goodwills</w:t>
            </w:r>
            <w:proofErr w:type="spellEnd"/>
            <w:r>
              <w:rPr>
                <w:sz w:val="18"/>
                <w:szCs w:val="18"/>
                <w:lang w:val="en-US"/>
              </w:rPr>
              <w:t xml:space="preserve"> </w:t>
            </w:r>
            <w:r w:rsidR="0067410A">
              <w:rPr>
                <w:sz w:val="18"/>
                <w:szCs w:val="18"/>
                <w:lang w:val="en-US"/>
              </w:rPr>
              <w:t xml:space="preserve">should </w:t>
            </w:r>
            <w:r>
              <w:rPr>
                <w:sz w:val="18"/>
                <w:szCs w:val="18"/>
                <w:lang w:val="en-US"/>
              </w:rPr>
              <w:t xml:space="preserve"> set to 0 EUR</w:t>
            </w:r>
          </w:p>
          <w:p w14:paraId="2077D0B7" w14:textId="57752F9A" w:rsidR="00EA5C35" w:rsidRDefault="00EA5C35" w:rsidP="006974AE">
            <w:pPr>
              <w:pStyle w:val="Default"/>
              <w:numPr>
                <w:ilvl w:val="0"/>
                <w:numId w:val="4"/>
              </w:numPr>
              <w:rPr>
                <w:sz w:val="18"/>
                <w:szCs w:val="18"/>
                <w:lang w:val="en-US"/>
              </w:rPr>
            </w:pPr>
            <w:r>
              <w:rPr>
                <w:sz w:val="18"/>
                <w:szCs w:val="18"/>
                <w:lang w:val="en-US"/>
              </w:rPr>
              <w:t xml:space="preserve">the Intangible assets </w:t>
            </w:r>
            <w:r w:rsidR="0067410A">
              <w:rPr>
                <w:sz w:val="18"/>
                <w:szCs w:val="18"/>
                <w:lang w:val="en-US"/>
              </w:rPr>
              <w:t>should be</w:t>
            </w:r>
            <w:r>
              <w:rPr>
                <w:sz w:val="18"/>
                <w:szCs w:val="18"/>
                <w:lang w:val="en-US"/>
              </w:rPr>
              <w:t xml:space="preserve"> set to 0 EUR</w:t>
            </w:r>
          </w:p>
          <w:p w14:paraId="2F8EC6BC" w14:textId="77777777" w:rsidR="00EA5C35" w:rsidRPr="00A169AB" w:rsidRDefault="00EA5C35" w:rsidP="006974AE">
            <w:pPr>
              <w:pStyle w:val="Default"/>
              <w:spacing w:after="267"/>
              <w:ind w:left="718"/>
              <w:rPr>
                <w:sz w:val="18"/>
                <w:szCs w:val="18"/>
                <w:lang w:val="en-US"/>
              </w:rPr>
            </w:pPr>
            <w:r w:rsidRPr="00EA5C35">
              <w:rPr>
                <w:sz w:val="18"/>
                <w:szCs w:val="18"/>
                <w:lang w:val="en-US"/>
              </w:rPr>
              <w:t xml:space="preserve">Check for the </w:t>
            </w:r>
            <w:proofErr w:type="spellStart"/>
            <w:r w:rsidRPr="00EA5C35">
              <w:rPr>
                <w:sz w:val="18"/>
                <w:szCs w:val="18"/>
                <w:lang w:val="en-US"/>
              </w:rPr>
              <w:t>non eliminated</w:t>
            </w:r>
            <w:proofErr w:type="spellEnd"/>
            <w:r w:rsidRPr="00EA5C35">
              <w:rPr>
                <w:sz w:val="18"/>
                <w:szCs w:val="18"/>
                <w:lang w:val="en-US"/>
              </w:rPr>
              <w:t xml:space="preserve"> intangible assets the following conditions:</w:t>
            </w:r>
            <w:r>
              <w:rPr>
                <w:sz w:val="18"/>
                <w:szCs w:val="18"/>
                <w:lang w:val="en-US"/>
              </w:rPr>
              <w:t xml:space="preserve">  </w:t>
            </w:r>
            <w:r w:rsidRPr="00EA5C35">
              <w:rPr>
                <w:sz w:val="18"/>
                <w:szCs w:val="18"/>
                <w:lang w:val="en-US"/>
              </w:rPr>
              <w:t>they can be sold separately and that the holder is able to demonstrate the existence of a market value for these assets or similar assets =&gt; these assets can be appraised at this value</w:t>
            </w:r>
          </w:p>
        </w:tc>
        <w:tc>
          <w:tcPr>
            <w:tcW w:w="1418" w:type="dxa"/>
            <w:shd w:val="clear" w:color="auto" w:fill="auto"/>
          </w:tcPr>
          <w:p w14:paraId="136AF45D" w14:textId="77777777" w:rsidR="00EA5C35" w:rsidRPr="00A169AB" w:rsidRDefault="00EA5C35" w:rsidP="00F97390">
            <w:pPr>
              <w:pStyle w:val="Default"/>
              <w:spacing w:after="267"/>
              <w:rPr>
                <w:sz w:val="18"/>
                <w:szCs w:val="18"/>
                <w:lang w:val="en-US"/>
              </w:rPr>
            </w:pPr>
          </w:p>
        </w:tc>
        <w:tc>
          <w:tcPr>
            <w:tcW w:w="2716" w:type="dxa"/>
            <w:shd w:val="clear" w:color="auto" w:fill="auto"/>
          </w:tcPr>
          <w:p w14:paraId="092D5401" w14:textId="77777777" w:rsidR="00EA5C35" w:rsidRDefault="00EA5C35" w:rsidP="00F97390">
            <w:pPr>
              <w:ind w:left="100" w:right="-20"/>
              <w:rPr>
                <w:spacing w:val="-1"/>
                <w:sz w:val="20"/>
                <w:szCs w:val="20"/>
                <w:u w:val="single"/>
              </w:rPr>
            </w:pPr>
          </w:p>
        </w:tc>
        <w:tc>
          <w:tcPr>
            <w:tcW w:w="2245" w:type="dxa"/>
            <w:shd w:val="clear" w:color="auto" w:fill="auto"/>
          </w:tcPr>
          <w:p w14:paraId="2AFC5107" w14:textId="77777777" w:rsidR="00EA5C35" w:rsidRPr="00BD0EF2" w:rsidRDefault="00EA5C35" w:rsidP="00F97390">
            <w:pPr>
              <w:pStyle w:val="Header"/>
              <w:tabs>
                <w:tab w:val="clear" w:pos="4320"/>
                <w:tab w:val="clear" w:pos="8640"/>
              </w:tabs>
              <w:spacing w:before="60" w:after="60"/>
              <w:rPr>
                <w:sz w:val="18"/>
                <w:szCs w:val="18"/>
              </w:rPr>
            </w:pPr>
          </w:p>
        </w:tc>
        <w:tc>
          <w:tcPr>
            <w:tcW w:w="632" w:type="dxa"/>
            <w:shd w:val="clear" w:color="auto" w:fill="auto"/>
          </w:tcPr>
          <w:p w14:paraId="2CBD48E5" w14:textId="77777777" w:rsidR="00EA5C35" w:rsidRPr="00BD0EF2" w:rsidRDefault="00EA5C35" w:rsidP="00F97390">
            <w:pPr>
              <w:pStyle w:val="Header"/>
              <w:tabs>
                <w:tab w:val="clear" w:pos="4320"/>
                <w:tab w:val="clear" w:pos="8640"/>
              </w:tabs>
              <w:spacing w:before="60" w:after="60"/>
              <w:rPr>
                <w:sz w:val="18"/>
                <w:szCs w:val="18"/>
              </w:rPr>
            </w:pPr>
          </w:p>
        </w:tc>
      </w:tr>
      <w:tr w:rsidR="0042368D" w:rsidRPr="0063699D" w14:paraId="079FBA59" w14:textId="77777777" w:rsidTr="00F97390">
        <w:trPr>
          <w:trHeight w:val="835"/>
        </w:trPr>
        <w:tc>
          <w:tcPr>
            <w:tcW w:w="1018" w:type="dxa"/>
            <w:shd w:val="clear" w:color="auto" w:fill="auto"/>
          </w:tcPr>
          <w:p w14:paraId="2CC446E7" w14:textId="77777777" w:rsidR="0042368D" w:rsidRPr="00A169AB" w:rsidRDefault="0042368D" w:rsidP="00F97390">
            <w:pPr>
              <w:pStyle w:val="Tabletext"/>
              <w:jc w:val="center"/>
              <w:rPr>
                <w:sz w:val="18"/>
                <w:szCs w:val="18"/>
              </w:rPr>
            </w:pPr>
            <w:r>
              <w:rPr>
                <w:sz w:val="18"/>
                <w:szCs w:val="18"/>
              </w:rPr>
              <w:t>4</w:t>
            </w:r>
          </w:p>
        </w:tc>
        <w:tc>
          <w:tcPr>
            <w:tcW w:w="4760" w:type="dxa"/>
            <w:shd w:val="clear" w:color="auto" w:fill="auto"/>
          </w:tcPr>
          <w:p w14:paraId="00E0CBC3" w14:textId="77777777" w:rsidR="0042368D" w:rsidRPr="00A169AB" w:rsidRDefault="0042368D" w:rsidP="00F97390">
            <w:pPr>
              <w:pStyle w:val="Default"/>
              <w:spacing w:after="267"/>
              <w:rPr>
                <w:sz w:val="18"/>
                <w:szCs w:val="18"/>
                <w:lang w:val="en-US"/>
              </w:rPr>
            </w:pPr>
            <w:r w:rsidRPr="00A169AB">
              <w:rPr>
                <w:sz w:val="18"/>
                <w:szCs w:val="18"/>
                <w:lang w:val="en-US"/>
              </w:rPr>
              <w:t xml:space="preserve">For each item of the economical balance sheet, assess </w:t>
            </w:r>
            <w:r>
              <w:rPr>
                <w:sz w:val="18"/>
                <w:szCs w:val="18"/>
                <w:lang w:val="en-US"/>
              </w:rPr>
              <w:t xml:space="preserve">its appropriate presentation and classification in the economical balance sheet in line with the Solvency II framework. </w:t>
            </w:r>
          </w:p>
        </w:tc>
        <w:tc>
          <w:tcPr>
            <w:tcW w:w="1418" w:type="dxa"/>
            <w:shd w:val="clear" w:color="auto" w:fill="auto"/>
          </w:tcPr>
          <w:p w14:paraId="4AF5A206" w14:textId="77777777" w:rsidR="0042368D" w:rsidRPr="00A169AB" w:rsidRDefault="0042368D" w:rsidP="00F97390">
            <w:pPr>
              <w:pStyle w:val="Default"/>
              <w:spacing w:after="267"/>
              <w:rPr>
                <w:sz w:val="18"/>
                <w:szCs w:val="18"/>
                <w:lang w:val="en-US"/>
              </w:rPr>
            </w:pPr>
            <w:r w:rsidRPr="00A169AB">
              <w:rPr>
                <w:sz w:val="18"/>
                <w:szCs w:val="18"/>
                <w:lang w:val="en-US"/>
              </w:rPr>
              <w:t>Economical balance sheet</w:t>
            </w:r>
          </w:p>
        </w:tc>
        <w:tc>
          <w:tcPr>
            <w:tcW w:w="2716" w:type="dxa"/>
            <w:shd w:val="clear" w:color="auto" w:fill="auto"/>
          </w:tcPr>
          <w:p w14:paraId="4C55A423" w14:textId="3CA904CD" w:rsidR="0042368D" w:rsidRPr="00077B76" w:rsidRDefault="0042368D" w:rsidP="00F97390">
            <w:pPr>
              <w:pStyle w:val="Header"/>
              <w:spacing w:before="60" w:after="60"/>
              <w:rPr>
                <w:sz w:val="18"/>
                <w:szCs w:val="18"/>
                <w:lang w:val="en-GB"/>
              </w:rPr>
            </w:pPr>
            <w:r>
              <w:rPr>
                <w:sz w:val="18"/>
                <w:szCs w:val="18"/>
                <w:lang w:val="en-GB"/>
              </w:rPr>
              <w:t>See references above</w:t>
            </w:r>
            <w:r w:rsidR="006B3B02">
              <w:rPr>
                <w:sz w:val="18"/>
                <w:szCs w:val="18"/>
                <w:lang w:val="en-GB"/>
              </w:rPr>
              <w:t xml:space="preserve"> and BNB/NBB Circular 2017_27</w:t>
            </w:r>
            <w:r w:rsidR="00065920">
              <w:rPr>
                <w:sz w:val="18"/>
                <w:szCs w:val="18"/>
                <w:lang w:val="en-GB"/>
              </w:rPr>
              <w:t xml:space="preserve"> (Data</w:t>
            </w:r>
            <w:r w:rsidR="00814AA5">
              <w:rPr>
                <w:sz w:val="18"/>
                <w:szCs w:val="18"/>
                <w:lang w:val="en-GB"/>
              </w:rPr>
              <w:t xml:space="preserve"> </w:t>
            </w:r>
            <w:r w:rsidR="00065920">
              <w:rPr>
                <w:sz w:val="18"/>
                <w:szCs w:val="18"/>
                <w:lang w:val="en-GB"/>
              </w:rPr>
              <w:t>Quality)</w:t>
            </w:r>
          </w:p>
        </w:tc>
        <w:tc>
          <w:tcPr>
            <w:tcW w:w="2245" w:type="dxa"/>
            <w:shd w:val="clear" w:color="auto" w:fill="auto"/>
          </w:tcPr>
          <w:p w14:paraId="0C869D7F" w14:textId="77777777" w:rsidR="0042368D" w:rsidRPr="00BD0EF2" w:rsidRDefault="0042368D" w:rsidP="00F97390">
            <w:pPr>
              <w:pStyle w:val="Header"/>
              <w:tabs>
                <w:tab w:val="clear" w:pos="4320"/>
                <w:tab w:val="clear" w:pos="8640"/>
              </w:tabs>
              <w:spacing w:before="60" w:after="60"/>
              <w:rPr>
                <w:sz w:val="18"/>
                <w:szCs w:val="18"/>
              </w:rPr>
            </w:pPr>
          </w:p>
        </w:tc>
        <w:tc>
          <w:tcPr>
            <w:tcW w:w="632" w:type="dxa"/>
            <w:shd w:val="clear" w:color="auto" w:fill="auto"/>
          </w:tcPr>
          <w:p w14:paraId="2354CF41" w14:textId="77777777" w:rsidR="0042368D" w:rsidRPr="00BD0EF2" w:rsidRDefault="0042368D" w:rsidP="00F97390">
            <w:pPr>
              <w:pStyle w:val="Header"/>
              <w:tabs>
                <w:tab w:val="clear" w:pos="4320"/>
                <w:tab w:val="clear" w:pos="8640"/>
              </w:tabs>
              <w:spacing w:before="60" w:after="60"/>
              <w:rPr>
                <w:sz w:val="18"/>
                <w:szCs w:val="18"/>
              </w:rPr>
            </w:pPr>
          </w:p>
        </w:tc>
      </w:tr>
      <w:tr w:rsidR="0042368D" w:rsidRPr="0063699D" w14:paraId="10A7AAA9" w14:textId="77777777" w:rsidTr="00F97390">
        <w:trPr>
          <w:trHeight w:val="1099"/>
        </w:trPr>
        <w:tc>
          <w:tcPr>
            <w:tcW w:w="1018" w:type="dxa"/>
            <w:shd w:val="clear" w:color="auto" w:fill="auto"/>
          </w:tcPr>
          <w:p w14:paraId="15BC919F" w14:textId="77777777" w:rsidR="0042368D" w:rsidRPr="00A169AB" w:rsidRDefault="0042368D" w:rsidP="00F97390">
            <w:pPr>
              <w:pStyle w:val="Tabletext"/>
              <w:jc w:val="center"/>
              <w:rPr>
                <w:sz w:val="18"/>
                <w:szCs w:val="18"/>
              </w:rPr>
            </w:pPr>
            <w:r>
              <w:rPr>
                <w:sz w:val="18"/>
                <w:szCs w:val="18"/>
              </w:rPr>
              <w:t>5</w:t>
            </w:r>
          </w:p>
        </w:tc>
        <w:tc>
          <w:tcPr>
            <w:tcW w:w="4760" w:type="dxa"/>
            <w:shd w:val="clear" w:color="auto" w:fill="auto"/>
          </w:tcPr>
          <w:p w14:paraId="7E2B3775" w14:textId="77777777" w:rsidR="0042368D" w:rsidRPr="00A169AB" w:rsidRDefault="0042368D" w:rsidP="00F97390">
            <w:pPr>
              <w:pStyle w:val="Default"/>
              <w:spacing w:after="267"/>
              <w:rPr>
                <w:sz w:val="18"/>
                <w:szCs w:val="18"/>
                <w:lang w:val="en-US"/>
              </w:rPr>
            </w:pPr>
            <w:r w:rsidRPr="00A169AB">
              <w:rPr>
                <w:sz w:val="18"/>
                <w:szCs w:val="18"/>
                <w:lang w:val="en-US"/>
              </w:rPr>
              <w:t xml:space="preserve">For each item of the economical balance sheet, assess the need to perform additional audit procedures on top of the audit procedures performed in the light of the audit of the IFRS or BEGAAP financial statements. </w:t>
            </w:r>
          </w:p>
        </w:tc>
        <w:tc>
          <w:tcPr>
            <w:tcW w:w="1418" w:type="dxa"/>
            <w:shd w:val="clear" w:color="auto" w:fill="auto"/>
          </w:tcPr>
          <w:p w14:paraId="5AFB7445" w14:textId="77777777" w:rsidR="0042368D" w:rsidRPr="00A169AB" w:rsidRDefault="0042368D" w:rsidP="00F97390">
            <w:pPr>
              <w:pStyle w:val="Default"/>
              <w:spacing w:after="267"/>
              <w:rPr>
                <w:sz w:val="18"/>
                <w:szCs w:val="18"/>
                <w:lang w:val="en-US"/>
              </w:rPr>
            </w:pPr>
            <w:r w:rsidRPr="00A169AB">
              <w:rPr>
                <w:sz w:val="18"/>
                <w:szCs w:val="18"/>
                <w:lang w:val="en-US"/>
              </w:rPr>
              <w:t>Economical balance sheet</w:t>
            </w:r>
          </w:p>
        </w:tc>
        <w:tc>
          <w:tcPr>
            <w:tcW w:w="2716" w:type="dxa"/>
            <w:shd w:val="clear" w:color="auto" w:fill="auto"/>
          </w:tcPr>
          <w:p w14:paraId="7BA86323" w14:textId="77777777" w:rsidR="0042368D" w:rsidRPr="00C46873" w:rsidRDefault="0042368D" w:rsidP="00F97390">
            <w:pPr>
              <w:pStyle w:val="Header"/>
              <w:spacing w:before="60" w:after="60"/>
              <w:rPr>
                <w:sz w:val="18"/>
                <w:szCs w:val="18"/>
                <w:lang w:val="en-GB"/>
              </w:rPr>
            </w:pPr>
          </w:p>
        </w:tc>
        <w:tc>
          <w:tcPr>
            <w:tcW w:w="2245" w:type="dxa"/>
            <w:shd w:val="clear" w:color="auto" w:fill="auto"/>
          </w:tcPr>
          <w:p w14:paraId="05F04163" w14:textId="77777777" w:rsidR="0042368D" w:rsidRPr="00BD0EF2" w:rsidRDefault="0042368D" w:rsidP="00F97390">
            <w:pPr>
              <w:pStyle w:val="Header"/>
              <w:tabs>
                <w:tab w:val="clear" w:pos="4320"/>
                <w:tab w:val="clear" w:pos="8640"/>
              </w:tabs>
              <w:spacing w:before="60" w:after="60"/>
              <w:rPr>
                <w:sz w:val="18"/>
                <w:szCs w:val="18"/>
              </w:rPr>
            </w:pPr>
          </w:p>
        </w:tc>
        <w:tc>
          <w:tcPr>
            <w:tcW w:w="632" w:type="dxa"/>
            <w:shd w:val="clear" w:color="auto" w:fill="auto"/>
          </w:tcPr>
          <w:p w14:paraId="6D091641" w14:textId="77777777" w:rsidR="0042368D" w:rsidRPr="00BD0EF2" w:rsidRDefault="0042368D" w:rsidP="00F97390">
            <w:pPr>
              <w:pStyle w:val="Header"/>
              <w:tabs>
                <w:tab w:val="clear" w:pos="4320"/>
                <w:tab w:val="clear" w:pos="8640"/>
              </w:tabs>
              <w:spacing w:before="60" w:after="60"/>
              <w:rPr>
                <w:sz w:val="18"/>
                <w:szCs w:val="18"/>
              </w:rPr>
            </w:pPr>
          </w:p>
        </w:tc>
      </w:tr>
      <w:tr w:rsidR="001F55BE" w:rsidRPr="0063699D" w14:paraId="62F50306" w14:textId="77777777" w:rsidTr="00F97390">
        <w:trPr>
          <w:trHeight w:val="1099"/>
        </w:trPr>
        <w:tc>
          <w:tcPr>
            <w:tcW w:w="1018" w:type="dxa"/>
            <w:shd w:val="clear" w:color="auto" w:fill="auto"/>
          </w:tcPr>
          <w:p w14:paraId="0B4AD05E" w14:textId="77777777" w:rsidR="001F55BE" w:rsidRPr="00A169AB" w:rsidRDefault="001F55BE" w:rsidP="001F55BE">
            <w:pPr>
              <w:pStyle w:val="Tabletext"/>
              <w:jc w:val="center"/>
              <w:rPr>
                <w:sz w:val="18"/>
                <w:szCs w:val="18"/>
              </w:rPr>
            </w:pPr>
            <w:r>
              <w:rPr>
                <w:sz w:val="18"/>
                <w:szCs w:val="18"/>
              </w:rPr>
              <w:t>6</w:t>
            </w:r>
          </w:p>
        </w:tc>
        <w:tc>
          <w:tcPr>
            <w:tcW w:w="4760" w:type="dxa"/>
            <w:shd w:val="clear" w:color="auto" w:fill="auto"/>
          </w:tcPr>
          <w:p w14:paraId="502857C0" w14:textId="77777777" w:rsidR="001F55BE" w:rsidRPr="00A169AB" w:rsidRDefault="001F55BE" w:rsidP="001F55BE">
            <w:pPr>
              <w:pStyle w:val="Default"/>
              <w:spacing w:after="267"/>
              <w:rPr>
                <w:color w:val="auto"/>
                <w:sz w:val="18"/>
                <w:szCs w:val="18"/>
                <w:lang w:val="en-US"/>
              </w:rPr>
            </w:pPr>
            <w:r w:rsidRPr="00A169AB">
              <w:rPr>
                <w:sz w:val="18"/>
                <w:szCs w:val="18"/>
                <w:lang w:val="en-US"/>
              </w:rPr>
              <w:t>When no IFRS financial statements are prepared, t</w:t>
            </w:r>
            <w:r w:rsidRPr="00A169AB">
              <w:rPr>
                <w:color w:val="auto"/>
                <w:sz w:val="18"/>
                <w:szCs w:val="18"/>
                <w:lang w:val="en-US"/>
              </w:rPr>
              <w:t xml:space="preserve">he IAS 19 liability accrued for in the economical balance sheet is still subject to audit procedures.  In case that an external expert has been engaged by the Company to perform the actuarial calculations, the work of the external expert should be reviewed using the guidance set forth in ISA 500 “Audit Evidence” (which is broadly consistent with ISA 620 “Using the work of an auditor’s expert”). </w:t>
            </w:r>
            <w:r w:rsidRPr="00A169AB">
              <w:rPr>
                <w:sz w:val="18"/>
                <w:szCs w:val="18"/>
                <w:lang w:val="en-US"/>
              </w:rPr>
              <w:t>Audit procedures on the IAS 19 liability should least include:</w:t>
            </w:r>
          </w:p>
          <w:p w14:paraId="36BB4408" w14:textId="77777777" w:rsidR="001F55BE" w:rsidRPr="00A169AB" w:rsidRDefault="001F55BE" w:rsidP="001F55BE">
            <w:pPr>
              <w:pStyle w:val="Default"/>
              <w:numPr>
                <w:ilvl w:val="0"/>
                <w:numId w:val="1"/>
              </w:numPr>
              <w:rPr>
                <w:sz w:val="18"/>
                <w:szCs w:val="18"/>
                <w:lang w:val="en-US"/>
              </w:rPr>
            </w:pPr>
            <w:r w:rsidRPr="00A169AB">
              <w:rPr>
                <w:sz w:val="18"/>
                <w:szCs w:val="18"/>
                <w:lang w:val="en-US"/>
              </w:rPr>
              <w:t xml:space="preserve">Review the work performed by the external expert using the guidance referred to above (competence, objectivity, independence, adequacy of the work performed) </w:t>
            </w:r>
          </w:p>
          <w:p w14:paraId="492DB43B" w14:textId="77777777" w:rsidR="001F55BE" w:rsidRPr="00A169AB" w:rsidRDefault="001F55BE" w:rsidP="001F55BE">
            <w:pPr>
              <w:pStyle w:val="Default"/>
              <w:numPr>
                <w:ilvl w:val="0"/>
                <w:numId w:val="1"/>
              </w:numPr>
              <w:rPr>
                <w:sz w:val="18"/>
                <w:szCs w:val="18"/>
                <w:lang w:val="en-US"/>
              </w:rPr>
            </w:pPr>
            <w:r w:rsidRPr="00A169AB">
              <w:rPr>
                <w:sz w:val="18"/>
                <w:szCs w:val="18"/>
                <w:lang w:val="en-US"/>
              </w:rPr>
              <w:t xml:space="preserve">Verify the completeness and accuracy of the census data used for the calculations </w:t>
            </w:r>
          </w:p>
          <w:p w14:paraId="796826A7" w14:textId="77777777" w:rsidR="001F55BE" w:rsidRPr="00A169AB" w:rsidRDefault="001F55BE" w:rsidP="001F55BE">
            <w:pPr>
              <w:pStyle w:val="Default"/>
              <w:numPr>
                <w:ilvl w:val="0"/>
                <w:numId w:val="1"/>
              </w:numPr>
              <w:rPr>
                <w:sz w:val="18"/>
                <w:szCs w:val="18"/>
                <w:lang w:val="en-US"/>
              </w:rPr>
            </w:pPr>
            <w:r w:rsidRPr="00A169AB">
              <w:rPr>
                <w:sz w:val="18"/>
                <w:szCs w:val="18"/>
                <w:lang w:val="en-US"/>
              </w:rPr>
              <w:t>Verify the appropriateness of the applied assumptions</w:t>
            </w:r>
          </w:p>
          <w:p w14:paraId="2B9FD219" w14:textId="77777777" w:rsidR="001F55BE" w:rsidRPr="00A169AB" w:rsidRDefault="001F55BE" w:rsidP="001F55BE">
            <w:pPr>
              <w:pStyle w:val="Default"/>
              <w:numPr>
                <w:ilvl w:val="0"/>
                <w:numId w:val="1"/>
              </w:numPr>
              <w:rPr>
                <w:sz w:val="18"/>
                <w:szCs w:val="18"/>
                <w:lang w:val="en-US"/>
              </w:rPr>
            </w:pPr>
            <w:r w:rsidRPr="00A169AB">
              <w:rPr>
                <w:sz w:val="18"/>
                <w:szCs w:val="18"/>
                <w:lang w:val="en-US"/>
              </w:rPr>
              <w:t>Perform an analysis on the evolution of the results</w:t>
            </w:r>
          </w:p>
          <w:p w14:paraId="2D4BE59F" w14:textId="77777777" w:rsidR="001F55BE" w:rsidRDefault="001F55BE" w:rsidP="001F55BE">
            <w:pPr>
              <w:pStyle w:val="Default"/>
              <w:numPr>
                <w:ilvl w:val="0"/>
                <w:numId w:val="1"/>
              </w:numPr>
              <w:rPr>
                <w:sz w:val="18"/>
                <w:szCs w:val="18"/>
                <w:lang w:val="en-US"/>
              </w:rPr>
            </w:pPr>
            <w:r w:rsidRPr="00A169AB">
              <w:rPr>
                <w:sz w:val="18"/>
                <w:szCs w:val="18"/>
                <w:lang w:val="en-US"/>
              </w:rPr>
              <w:t>Consider the necessity to perform an independent calculation.</w:t>
            </w:r>
          </w:p>
          <w:p w14:paraId="53B4C4C0" w14:textId="77777777" w:rsidR="001F55BE" w:rsidRDefault="001F55BE" w:rsidP="001F55BE">
            <w:pPr>
              <w:pStyle w:val="Default"/>
              <w:rPr>
                <w:sz w:val="18"/>
                <w:szCs w:val="18"/>
                <w:lang w:val="en-US"/>
              </w:rPr>
            </w:pPr>
          </w:p>
          <w:p w14:paraId="58ECD83C" w14:textId="77777777" w:rsidR="001F55BE" w:rsidRPr="00A169AB" w:rsidRDefault="001F55BE" w:rsidP="001F55BE">
            <w:pPr>
              <w:pStyle w:val="Default"/>
              <w:rPr>
                <w:sz w:val="18"/>
                <w:szCs w:val="18"/>
                <w:lang w:val="en-US"/>
              </w:rPr>
            </w:pPr>
            <w:r w:rsidRPr="006049AA">
              <w:rPr>
                <w:sz w:val="18"/>
                <w:szCs w:val="18"/>
                <w:u w:val="single"/>
                <w:lang w:val="en-US"/>
              </w:rPr>
              <w:t>Remark</w:t>
            </w:r>
            <w:r>
              <w:rPr>
                <w:sz w:val="18"/>
                <w:szCs w:val="18"/>
                <w:lang w:val="en-US"/>
              </w:rPr>
              <w:t>: This procedure is based on the assumption that the IAS19 calculation is externalized (which is common practice in the Belgian insurance market). In case the IAS19 calculation is internalized, this procedure should be adapted accordingly</w:t>
            </w:r>
          </w:p>
        </w:tc>
        <w:tc>
          <w:tcPr>
            <w:tcW w:w="1418" w:type="dxa"/>
            <w:shd w:val="clear" w:color="auto" w:fill="auto"/>
          </w:tcPr>
          <w:p w14:paraId="11305183" w14:textId="77777777" w:rsidR="001F55BE" w:rsidRPr="00A169AB" w:rsidRDefault="001F55BE" w:rsidP="001F55BE">
            <w:pPr>
              <w:pStyle w:val="Default"/>
              <w:spacing w:after="267"/>
              <w:rPr>
                <w:sz w:val="18"/>
                <w:szCs w:val="18"/>
                <w:lang w:val="en-US"/>
              </w:rPr>
            </w:pPr>
            <w:r w:rsidRPr="00A169AB">
              <w:rPr>
                <w:sz w:val="18"/>
                <w:szCs w:val="18"/>
                <w:lang w:val="en-US"/>
              </w:rPr>
              <w:lastRenderedPageBreak/>
              <w:t>Economical balance sheet</w:t>
            </w:r>
          </w:p>
        </w:tc>
        <w:tc>
          <w:tcPr>
            <w:tcW w:w="2716" w:type="dxa"/>
            <w:shd w:val="clear" w:color="auto" w:fill="auto"/>
          </w:tcPr>
          <w:p w14:paraId="05B3CEA8" w14:textId="77777777" w:rsidR="001F55BE" w:rsidRDefault="001F55BE" w:rsidP="001F55BE">
            <w:pPr>
              <w:ind w:left="100" w:right="-20"/>
              <w:rPr>
                <w:spacing w:val="-1"/>
                <w:sz w:val="20"/>
                <w:szCs w:val="20"/>
                <w:u w:val="single"/>
              </w:rPr>
            </w:pPr>
            <w:r>
              <w:rPr>
                <w:spacing w:val="-1"/>
                <w:sz w:val="20"/>
                <w:szCs w:val="20"/>
                <w:u w:val="single"/>
              </w:rPr>
              <w:t>General references</w:t>
            </w:r>
          </w:p>
          <w:p w14:paraId="5E0BC21F" w14:textId="71747FC9" w:rsidR="001F55BE" w:rsidRPr="00077B76" w:rsidRDefault="001F55BE" w:rsidP="001F55BE">
            <w:pPr>
              <w:pStyle w:val="Header"/>
              <w:numPr>
                <w:ilvl w:val="0"/>
                <w:numId w:val="2"/>
              </w:numPr>
              <w:spacing w:before="60" w:after="60"/>
              <w:rPr>
                <w:sz w:val="18"/>
                <w:szCs w:val="18"/>
                <w:lang w:val="en-GB"/>
              </w:rPr>
            </w:pPr>
            <w:r>
              <w:rPr>
                <w:sz w:val="18"/>
                <w:szCs w:val="18"/>
              </w:rPr>
              <w:t>IAS19</w:t>
            </w:r>
          </w:p>
          <w:p w14:paraId="0422F6DB" w14:textId="77777777" w:rsidR="001F55BE" w:rsidRPr="00C46873" w:rsidRDefault="001F55BE" w:rsidP="001F55BE">
            <w:pPr>
              <w:pStyle w:val="Header"/>
              <w:tabs>
                <w:tab w:val="clear" w:pos="4320"/>
                <w:tab w:val="clear" w:pos="8640"/>
              </w:tabs>
              <w:spacing w:before="60" w:after="60"/>
              <w:jc w:val="center"/>
              <w:rPr>
                <w:sz w:val="18"/>
                <w:szCs w:val="18"/>
                <w:lang w:val="en-GB"/>
              </w:rPr>
            </w:pPr>
          </w:p>
        </w:tc>
        <w:tc>
          <w:tcPr>
            <w:tcW w:w="2245" w:type="dxa"/>
            <w:shd w:val="clear" w:color="auto" w:fill="auto"/>
          </w:tcPr>
          <w:p w14:paraId="4C64EFFF" w14:textId="77777777" w:rsidR="001F55BE" w:rsidRPr="00A169AB" w:rsidRDefault="001F55BE" w:rsidP="001F55BE">
            <w:pPr>
              <w:pStyle w:val="Header"/>
              <w:tabs>
                <w:tab w:val="clear" w:pos="4320"/>
                <w:tab w:val="clear" w:pos="8640"/>
              </w:tabs>
              <w:spacing w:before="60" w:after="60"/>
              <w:rPr>
                <w:sz w:val="18"/>
                <w:szCs w:val="18"/>
              </w:rPr>
            </w:pPr>
          </w:p>
        </w:tc>
        <w:tc>
          <w:tcPr>
            <w:tcW w:w="632" w:type="dxa"/>
            <w:shd w:val="clear" w:color="auto" w:fill="auto"/>
          </w:tcPr>
          <w:p w14:paraId="5757EB91" w14:textId="77777777" w:rsidR="001F55BE" w:rsidRPr="00A169AB" w:rsidRDefault="001F55BE" w:rsidP="001F55BE">
            <w:pPr>
              <w:pStyle w:val="Header"/>
              <w:tabs>
                <w:tab w:val="clear" w:pos="4320"/>
                <w:tab w:val="clear" w:pos="8640"/>
              </w:tabs>
              <w:spacing w:before="60" w:after="60"/>
              <w:rPr>
                <w:sz w:val="18"/>
                <w:szCs w:val="18"/>
              </w:rPr>
            </w:pPr>
          </w:p>
        </w:tc>
      </w:tr>
      <w:tr w:rsidR="001F55BE" w:rsidRPr="0063699D" w14:paraId="2CAD121B" w14:textId="77777777" w:rsidTr="00F97390">
        <w:trPr>
          <w:trHeight w:val="1099"/>
        </w:trPr>
        <w:tc>
          <w:tcPr>
            <w:tcW w:w="1018" w:type="dxa"/>
            <w:shd w:val="clear" w:color="auto" w:fill="auto"/>
          </w:tcPr>
          <w:p w14:paraId="6C81E5DA" w14:textId="77777777" w:rsidR="001F55BE" w:rsidRPr="00A169AB" w:rsidRDefault="001F55BE" w:rsidP="001F55BE">
            <w:pPr>
              <w:pStyle w:val="Tabletext"/>
              <w:jc w:val="center"/>
              <w:rPr>
                <w:sz w:val="18"/>
                <w:szCs w:val="18"/>
              </w:rPr>
            </w:pPr>
            <w:r>
              <w:rPr>
                <w:sz w:val="18"/>
                <w:szCs w:val="18"/>
              </w:rPr>
              <w:t>7</w:t>
            </w:r>
          </w:p>
        </w:tc>
        <w:tc>
          <w:tcPr>
            <w:tcW w:w="4760" w:type="dxa"/>
            <w:shd w:val="clear" w:color="auto" w:fill="auto"/>
          </w:tcPr>
          <w:p w14:paraId="4E5BD2E2" w14:textId="3D44236F" w:rsidR="001F55BE" w:rsidRDefault="00983C89" w:rsidP="001F55BE">
            <w:pPr>
              <w:pStyle w:val="Default"/>
              <w:spacing w:after="267"/>
              <w:rPr>
                <w:sz w:val="18"/>
                <w:szCs w:val="18"/>
                <w:lang w:val="en-US"/>
              </w:rPr>
            </w:pPr>
            <w:r>
              <w:rPr>
                <w:sz w:val="18"/>
                <w:szCs w:val="18"/>
                <w:lang w:val="en-US"/>
              </w:rPr>
              <w:t>A</w:t>
            </w:r>
            <w:r w:rsidR="001F55BE" w:rsidRPr="00A169AB">
              <w:rPr>
                <w:sz w:val="18"/>
                <w:szCs w:val="18"/>
                <w:lang w:val="en-US"/>
              </w:rPr>
              <w:t xml:space="preserve">ssess the recoverability of accrued deferred tax assets </w:t>
            </w:r>
            <w:r w:rsidR="00F42F29">
              <w:rPr>
                <w:sz w:val="18"/>
                <w:szCs w:val="18"/>
                <w:lang w:val="en-US"/>
              </w:rPr>
              <w:t xml:space="preserve">(DTA) </w:t>
            </w:r>
            <w:r w:rsidR="001F55BE" w:rsidRPr="00A169AB">
              <w:rPr>
                <w:sz w:val="18"/>
                <w:szCs w:val="18"/>
                <w:lang w:val="en-US"/>
              </w:rPr>
              <w:t>in accordance with the technical specifications (which are based on IAS 12 Income Taxes)</w:t>
            </w:r>
            <w:r w:rsidR="001F55BE">
              <w:rPr>
                <w:sz w:val="18"/>
                <w:szCs w:val="18"/>
                <w:lang w:val="en-US"/>
              </w:rPr>
              <w:t xml:space="preserve"> and Guidelines issued </w:t>
            </w:r>
            <w:r w:rsidR="00427E29">
              <w:rPr>
                <w:sz w:val="18"/>
                <w:szCs w:val="18"/>
                <w:lang w:val="en-US"/>
              </w:rPr>
              <w:t>in BNB/NBB Circular 2016_28</w:t>
            </w:r>
            <w:r w:rsidR="001F55BE" w:rsidRPr="00A169AB">
              <w:rPr>
                <w:sz w:val="18"/>
                <w:szCs w:val="18"/>
                <w:lang w:val="en-US"/>
              </w:rPr>
              <w:t>.</w:t>
            </w:r>
          </w:p>
          <w:p w14:paraId="33B5F727" w14:textId="15FD66EE" w:rsidR="00F42F29" w:rsidRPr="00A169AB" w:rsidRDefault="00F42F29" w:rsidP="001F55BE">
            <w:pPr>
              <w:pStyle w:val="Default"/>
              <w:spacing w:after="267"/>
              <w:rPr>
                <w:sz w:val="18"/>
                <w:szCs w:val="18"/>
                <w:lang w:val="en-US"/>
              </w:rPr>
            </w:pPr>
          </w:p>
        </w:tc>
        <w:tc>
          <w:tcPr>
            <w:tcW w:w="1418" w:type="dxa"/>
            <w:shd w:val="clear" w:color="auto" w:fill="auto"/>
          </w:tcPr>
          <w:p w14:paraId="66D75ED8" w14:textId="77777777" w:rsidR="001F55BE" w:rsidRPr="00A169AB" w:rsidRDefault="001F55BE" w:rsidP="001F55BE">
            <w:pPr>
              <w:pStyle w:val="Default"/>
              <w:spacing w:after="267"/>
              <w:rPr>
                <w:sz w:val="18"/>
                <w:szCs w:val="18"/>
                <w:lang w:val="en-US"/>
              </w:rPr>
            </w:pPr>
            <w:r w:rsidRPr="00A169AB">
              <w:rPr>
                <w:sz w:val="18"/>
                <w:szCs w:val="18"/>
                <w:lang w:val="en-US"/>
              </w:rPr>
              <w:t>Economical balance sheet</w:t>
            </w:r>
          </w:p>
        </w:tc>
        <w:tc>
          <w:tcPr>
            <w:tcW w:w="2716" w:type="dxa"/>
            <w:shd w:val="clear" w:color="auto" w:fill="auto"/>
          </w:tcPr>
          <w:p w14:paraId="6F5E6FD7" w14:textId="77777777" w:rsidR="001F55BE" w:rsidRDefault="001F55BE" w:rsidP="001F55BE">
            <w:pPr>
              <w:ind w:left="100" w:right="-20"/>
              <w:rPr>
                <w:spacing w:val="-1"/>
                <w:sz w:val="20"/>
                <w:szCs w:val="20"/>
                <w:u w:val="single"/>
              </w:rPr>
            </w:pPr>
            <w:r>
              <w:rPr>
                <w:spacing w:val="-1"/>
                <w:sz w:val="20"/>
                <w:szCs w:val="20"/>
                <w:u w:val="single"/>
              </w:rPr>
              <w:t>General references</w:t>
            </w:r>
          </w:p>
          <w:p w14:paraId="14F5701D" w14:textId="6248DC6E" w:rsidR="00D9380E" w:rsidRPr="006974AE" w:rsidRDefault="00D9380E" w:rsidP="001F55BE">
            <w:pPr>
              <w:pStyle w:val="Header"/>
              <w:numPr>
                <w:ilvl w:val="0"/>
                <w:numId w:val="2"/>
              </w:numPr>
              <w:spacing w:before="60" w:after="60"/>
              <w:rPr>
                <w:sz w:val="18"/>
                <w:szCs w:val="18"/>
                <w:lang w:val="en-GB"/>
              </w:rPr>
            </w:pPr>
            <w:r>
              <w:rPr>
                <w:sz w:val="18"/>
                <w:szCs w:val="18"/>
                <w:lang w:val="en-GB"/>
              </w:rPr>
              <w:t>BNB/NBB</w:t>
            </w:r>
            <w:r w:rsidR="001F6C57">
              <w:rPr>
                <w:sz w:val="18"/>
                <w:szCs w:val="18"/>
                <w:lang w:val="en-GB"/>
              </w:rPr>
              <w:t xml:space="preserve"> </w:t>
            </w:r>
            <w:r w:rsidRPr="006974AE">
              <w:rPr>
                <w:b/>
                <w:sz w:val="18"/>
                <w:szCs w:val="18"/>
                <w:lang w:val="en-GB"/>
              </w:rPr>
              <w:t>Circular 2</w:t>
            </w:r>
            <w:r w:rsidR="006B3B02" w:rsidRPr="006974AE">
              <w:rPr>
                <w:b/>
                <w:sz w:val="18"/>
                <w:szCs w:val="18"/>
                <w:lang w:val="en-GB"/>
              </w:rPr>
              <w:t xml:space="preserve">016_28 </w:t>
            </w:r>
            <w:r w:rsidR="006B3B02">
              <w:rPr>
                <w:sz w:val="18"/>
                <w:szCs w:val="18"/>
                <w:lang w:val="en-GB"/>
              </w:rPr>
              <w:t>(guidance 9)</w:t>
            </w:r>
          </w:p>
          <w:p w14:paraId="2F911A97" w14:textId="3FF40A8E" w:rsidR="001F55BE" w:rsidRPr="002C339C" w:rsidRDefault="001F55BE" w:rsidP="006974AE">
            <w:pPr>
              <w:pStyle w:val="Header"/>
              <w:spacing w:before="60" w:after="60"/>
              <w:ind w:left="360"/>
              <w:rPr>
                <w:sz w:val="18"/>
                <w:szCs w:val="18"/>
              </w:rPr>
            </w:pPr>
          </w:p>
        </w:tc>
        <w:tc>
          <w:tcPr>
            <w:tcW w:w="2245" w:type="dxa"/>
            <w:shd w:val="clear" w:color="auto" w:fill="auto"/>
          </w:tcPr>
          <w:p w14:paraId="6CB5F289" w14:textId="77777777" w:rsidR="001F55BE" w:rsidRPr="00A169AB" w:rsidRDefault="001F55BE" w:rsidP="001F55BE">
            <w:pPr>
              <w:pStyle w:val="Header"/>
              <w:tabs>
                <w:tab w:val="clear" w:pos="4320"/>
                <w:tab w:val="clear" w:pos="8640"/>
              </w:tabs>
              <w:spacing w:before="60" w:after="60"/>
              <w:rPr>
                <w:sz w:val="18"/>
                <w:szCs w:val="18"/>
              </w:rPr>
            </w:pPr>
          </w:p>
        </w:tc>
        <w:tc>
          <w:tcPr>
            <w:tcW w:w="632" w:type="dxa"/>
            <w:shd w:val="clear" w:color="auto" w:fill="auto"/>
          </w:tcPr>
          <w:p w14:paraId="1B267040" w14:textId="77777777" w:rsidR="001F55BE" w:rsidRPr="00A169AB" w:rsidRDefault="001F55BE" w:rsidP="001F55BE">
            <w:pPr>
              <w:pStyle w:val="Header"/>
              <w:tabs>
                <w:tab w:val="clear" w:pos="4320"/>
                <w:tab w:val="clear" w:pos="8640"/>
              </w:tabs>
              <w:spacing w:before="60" w:after="60"/>
              <w:rPr>
                <w:sz w:val="18"/>
                <w:szCs w:val="18"/>
              </w:rPr>
            </w:pPr>
          </w:p>
        </w:tc>
        <w:bookmarkStart w:id="0" w:name="_GoBack"/>
        <w:bookmarkEnd w:id="0"/>
      </w:tr>
      <w:tr w:rsidR="001F55BE" w:rsidRPr="0063699D" w14:paraId="74A599D7" w14:textId="77777777" w:rsidTr="00F97390">
        <w:trPr>
          <w:trHeight w:val="1099"/>
        </w:trPr>
        <w:tc>
          <w:tcPr>
            <w:tcW w:w="1018" w:type="dxa"/>
            <w:shd w:val="clear" w:color="auto" w:fill="auto"/>
          </w:tcPr>
          <w:p w14:paraId="069C5AE5" w14:textId="77777777" w:rsidR="001F55BE" w:rsidRDefault="001F55BE" w:rsidP="001F55BE">
            <w:pPr>
              <w:pStyle w:val="Tabletext"/>
              <w:jc w:val="center"/>
              <w:rPr>
                <w:sz w:val="18"/>
                <w:szCs w:val="18"/>
              </w:rPr>
            </w:pPr>
            <w:r>
              <w:rPr>
                <w:sz w:val="18"/>
                <w:szCs w:val="18"/>
              </w:rPr>
              <w:t>8</w:t>
            </w:r>
          </w:p>
        </w:tc>
        <w:tc>
          <w:tcPr>
            <w:tcW w:w="4760" w:type="dxa"/>
            <w:shd w:val="clear" w:color="auto" w:fill="auto"/>
          </w:tcPr>
          <w:p w14:paraId="3757C8CD" w14:textId="5B44DA37" w:rsidR="001F55BE" w:rsidRPr="001F55BE" w:rsidRDefault="001F55BE" w:rsidP="001F55BE">
            <w:pPr>
              <w:pStyle w:val="Default"/>
              <w:spacing w:after="267"/>
              <w:rPr>
                <w:sz w:val="18"/>
                <w:szCs w:val="18"/>
                <w:lang w:val="en-US"/>
              </w:rPr>
            </w:pPr>
            <w:r w:rsidRPr="001F55BE">
              <w:rPr>
                <w:sz w:val="18"/>
                <w:szCs w:val="18"/>
                <w:lang w:val="en-US"/>
              </w:rPr>
              <w:t xml:space="preserve">Ensure that the identification and the treatment of related undertakings, including participations is in accordance with </w:t>
            </w:r>
            <w:r w:rsidR="000B1B25" w:rsidRPr="006974AE">
              <w:rPr>
                <w:sz w:val="18"/>
                <w:lang w:val="en-GB"/>
              </w:rPr>
              <w:t xml:space="preserve"> </w:t>
            </w:r>
            <w:r w:rsidR="000B1B25" w:rsidRPr="003D38D8">
              <w:rPr>
                <w:sz w:val="18"/>
                <w:lang w:val="en-GB"/>
              </w:rPr>
              <w:t xml:space="preserve">the </w:t>
            </w:r>
            <w:r w:rsidR="000B1B25" w:rsidRPr="006974AE">
              <w:rPr>
                <w:sz w:val="18"/>
                <w:lang w:val="en-GB"/>
              </w:rPr>
              <w:t>Delegated Regulation</w:t>
            </w:r>
            <w:r w:rsidR="000B1B25" w:rsidRPr="001F55BE" w:rsidDel="000B1B25">
              <w:rPr>
                <w:sz w:val="18"/>
                <w:szCs w:val="18"/>
                <w:lang w:val="en-US"/>
              </w:rPr>
              <w:t xml:space="preserve"> </w:t>
            </w:r>
            <w:r w:rsidR="000B1B25">
              <w:rPr>
                <w:sz w:val="18"/>
                <w:szCs w:val="18"/>
                <w:lang w:val="en-US"/>
              </w:rPr>
              <w:t>and the related BNB/NBB Circulars</w:t>
            </w:r>
          </w:p>
          <w:p w14:paraId="3DBF307F" w14:textId="77777777" w:rsidR="001F55BE" w:rsidRPr="001F55BE" w:rsidRDefault="001F55BE" w:rsidP="001F55BE">
            <w:pPr>
              <w:pStyle w:val="Default"/>
              <w:spacing w:after="267"/>
              <w:rPr>
                <w:sz w:val="18"/>
                <w:szCs w:val="18"/>
                <w:lang w:val="en-US"/>
              </w:rPr>
            </w:pPr>
          </w:p>
        </w:tc>
        <w:tc>
          <w:tcPr>
            <w:tcW w:w="1418" w:type="dxa"/>
            <w:shd w:val="clear" w:color="auto" w:fill="auto"/>
          </w:tcPr>
          <w:p w14:paraId="6AB451AC" w14:textId="77777777" w:rsidR="001F55BE" w:rsidRPr="00A169AB" w:rsidRDefault="001F55BE" w:rsidP="001F55BE">
            <w:pPr>
              <w:pStyle w:val="Default"/>
              <w:spacing w:after="267"/>
              <w:rPr>
                <w:sz w:val="18"/>
                <w:szCs w:val="18"/>
                <w:lang w:val="en-US"/>
              </w:rPr>
            </w:pPr>
          </w:p>
        </w:tc>
        <w:tc>
          <w:tcPr>
            <w:tcW w:w="2716" w:type="dxa"/>
            <w:shd w:val="clear" w:color="auto" w:fill="auto"/>
          </w:tcPr>
          <w:p w14:paraId="5C634351" w14:textId="5D767D08" w:rsidR="000B1B25" w:rsidRDefault="000B1B25" w:rsidP="006974AE">
            <w:pPr>
              <w:pStyle w:val="Header"/>
              <w:spacing w:before="60" w:after="60"/>
              <w:rPr>
                <w:sz w:val="18"/>
                <w:szCs w:val="18"/>
              </w:rPr>
            </w:pPr>
            <w:r>
              <w:rPr>
                <w:sz w:val="18"/>
                <w:szCs w:val="18"/>
              </w:rPr>
              <w:t>Delegated Regulation  2015/35 – Article 68, 168 and 171 (and amendment on these articles by EC/2019/981)</w:t>
            </w:r>
          </w:p>
          <w:p w14:paraId="7A1C4F7B" w14:textId="77777777" w:rsidR="000B1B25" w:rsidRDefault="000B1B25" w:rsidP="001F55BE">
            <w:pPr>
              <w:pStyle w:val="Header"/>
              <w:spacing w:before="60" w:after="60"/>
              <w:rPr>
                <w:sz w:val="18"/>
                <w:szCs w:val="18"/>
              </w:rPr>
            </w:pPr>
          </w:p>
          <w:p w14:paraId="22AE3603" w14:textId="105E11ED" w:rsidR="001F55BE" w:rsidRDefault="00F42F29" w:rsidP="001F55BE">
            <w:pPr>
              <w:pStyle w:val="Header"/>
              <w:spacing w:before="60" w:after="60"/>
              <w:rPr>
                <w:sz w:val="18"/>
                <w:szCs w:val="18"/>
              </w:rPr>
            </w:pPr>
            <w:r w:rsidRPr="006974AE">
              <w:rPr>
                <w:b/>
                <w:sz w:val="18"/>
                <w:szCs w:val="18"/>
              </w:rPr>
              <w:t>BNB/NBB Circular 2016_08</w:t>
            </w:r>
            <w:r w:rsidR="001F55BE">
              <w:rPr>
                <w:sz w:val="18"/>
                <w:szCs w:val="18"/>
              </w:rPr>
              <w:t>)</w:t>
            </w:r>
          </w:p>
          <w:p w14:paraId="105AD49A" w14:textId="77777777" w:rsidR="001F55BE" w:rsidRPr="00077B76" w:rsidRDefault="001F55BE" w:rsidP="001F55BE">
            <w:pPr>
              <w:pStyle w:val="Header"/>
              <w:numPr>
                <w:ilvl w:val="0"/>
                <w:numId w:val="2"/>
              </w:numPr>
              <w:spacing w:before="60" w:after="60"/>
              <w:rPr>
                <w:sz w:val="18"/>
                <w:szCs w:val="18"/>
              </w:rPr>
            </w:pPr>
            <w:r w:rsidRPr="00077B76">
              <w:rPr>
                <w:sz w:val="18"/>
                <w:szCs w:val="18"/>
              </w:rPr>
              <w:t>Guidelines 1 to 3 – Identification</w:t>
            </w:r>
            <w:r>
              <w:rPr>
                <w:sz w:val="18"/>
                <w:szCs w:val="18"/>
              </w:rPr>
              <w:t xml:space="preserve"> of related undertakings, </w:t>
            </w:r>
            <w:r w:rsidRPr="00077B76">
              <w:rPr>
                <w:sz w:val="18"/>
                <w:szCs w:val="18"/>
              </w:rPr>
              <w:t>participations, and strategic participation</w:t>
            </w:r>
          </w:p>
          <w:p w14:paraId="079AE4AD" w14:textId="25A78C3A" w:rsidR="001F55BE" w:rsidRPr="00077B76" w:rsidRDefault="001F55BE" w:rsidP="001F55BE">
            <w:pPr>
              <w:pStyle w:val="Header"/>
              <w:numPr>
                <w:ilvl w:val="0"/>
                <w:numId w:val="2"/>
              </w:numPr>
              <w:spacing w:before="60" w:after="60"/>
              <w:rPr>
                <w:sz w:val="18"/>
                <w:szCs w:val="18"/>
              </w:rPr>
            </w:pPr>
            <w:r w:rsidRPr="00077B76">
              <w:rPr>
                <w:sz w:val="18"/>
                <w:szCs w:val="18"/>
              </w:rPr>
              <w:t xml:space="preserve">Guideline 4 &amp; 5 - Scope of calculations and calculation for Article 68 </w:t>
            </w:r>
            <w:r w:rsidR="006974AE">
              <w:rPr>
                <w:sz w:val="18"/>
                <w:szCs w:val="18"/>
              </w:rPr>
              <w:t>of Delegated Regulation 2015/35</w:t>
            </w:r>
          </w:p>
          <w:p w14:paraId="5C437452" w14:textId="77777777" w:rsidR="001F55BE" w:rsidRPr="004B22F1" w:rsidRDefault="001F55BE" w:rsidP="001F55BE">
            <w:pPr>
              <w:pStyle w:val="Header"/>
              <w:numPr>
                <w:ilvl w:val="0"/>
                <w:numId w:val="2"/>
              </w:numPr>
              <w:spacing w:before="60" w:after="60"/>
              <w:rPr>
                <w:sz w:val="18"/>
                <w:szCs w:val="18"/>
                <w:lang w:val="en-GB"/>
              </w:rPr>
            </w:pPr>
            <w:r w:rsidRPr="00077B76">
              <w:rPr>
                <w:sz w:val="18"/>
                <w:szCs w:val="18"/>
              </w:rPr>
              <w:t>Guideline 6 &amp; 7- Deductions in respect of participations in financial and credit institutions</w:t>
            </w:r>
            <w:r>
              <w:rPr>
                <w:sz w:val="18"/>
                <w:szCs w:val="18"/>
                <w:lang w:val="en-GB"/>
              </w:rPr>
              <w:t xml:space="preserve">. </w:t>
            </w:r>
          </w:p>
          <w:p w14:paraId="22D265D4" w14:textId="27BB4B43" w:rsidR="001F55BE" w:rsidRPr="00CB537B" w:rsidRDefault="001F55BE" w:rsidP="001F55BE">
            <w:pPr>
              <w:pStyle w:val="Header"/>
              <w:numPr>
                <w:ilvl w:val="0"/>
                <w:numId w:val="2"/>
              </w:numPr>
              <w:spacing w:before="60" w:after="60"/>
              <w:rPr>
                <w:sz w:val="18"/>
                <w:szCs w:val="18"/>
                <w:lang w:val="en-GB"/>
              </w:rPr>
            </w:pPr>
            <w:r w:rsidRPr="0085238C">
              <w:rPr>
                <w:sz w:val="18"/>
                <w:szCs w:val="18"/>
              </w:rPr>
              <w:t>Guidelines 8 &amp; 9 - Application of the standard formula and internal model to related undertakings</w:t>
            </w:r>
          </w:p>
          <w:p w14:paraId="7C99290A" w14:textId="22F77A46" w:rsidR="001F55BE" w:rsidRPr="00CB537B" w:rsidRDefault="001F55BE" w:rsidP="001F55BE">
            <w:pPr>
              <w:pStyle w:val="Header"/>
              <w:spacing w:before="60" w:after="60"/>
              <w:rPr>
                <w:sz w:val="18"/>
                <w:szCs w:val="18"/>
              </w:rPr>
            </w:pPr>
          </w:p>
        </w:tc>
        <w:tc>
          <w:tcPr>
            <w:tcW w:w="2245" w:type="dxa"/>
            <w:shd w:val="clear" w:color="auto" w:fill="auto"/>
          </w:tcPr>
          <w:p w14:paraId="1AC85939" w14:textId="77777777" w:rsidR="001F55BE" w:rsidRPr="00B8299A" w:rsidRDefault="001F55BE" w:rsidP="001F55BE">
            <w:pPr>
              <w:pStyle w:val="Header"/>
              <w:tabs>
                <w:tab w:val="clear" w:pos="4320"/>
                <w:tab w:val="clear" w:pos="8640"/>
              </w:tabs>
              <w:spacing w:before="60" w:after="60"/>
              <w:rPr>
                <w:sz w:val="18"/>
                <w:szCs w:val="18"/>
                <w:lang w:val="en-GB"/>
              </w:rPr>
            </w:pPr>
          </w:p>
        </w:tc>
        <w:tc>
          <w:tcPr>
            <w:tcW w:w="632" w:type="dxa"/>
            <w:shd w:val="clear" w:color="auto" w:fill="auto"/>
          </w:tcPr>
          <w:p w14:paraId="1313AB76" w14:textId="77777777" w:rsidR="001F55BE" w:rsidRPr="00BD0EF2" w:rsidRDefault="001F55BE" w:rsidP="001F55BE">
            <w:pPr>
              <w:pStyle w:val="Header"/>
              <w:tabs>
                <w:tab w:val="clear" w:pos="4320"/>
                <w:tab w:val="clear" w:pos="8640"/>
              </w:tabs>
              <w:spacing w:before="60" w:after="60"/>
              <w:rPr>
                <w:sz w:val="18"/>
                <w:szCs w:val="18"/>
              </w:rPr>
            </w:pPr>
          </w:p>
        </w:tc>
      </w:tr>
      <w:tr w:rsidR="001F55BE" w:rsidRPr="0063699D" w14:paraId="05267899" w14:textId="77777777" w:rsidTr="00F97390">
        <w:trPr>
          <w:trHeight w:val="1099"/>
        </w:trPr>
        <w:tc>
          <w:tcPr>
            <w:tcW w:w="1018" w:type="dxa"/>
            <w:shd w:val="clear" w:color="auto" w:fill="auto"/>
          </w:tcPr>
          <w:p w14:paraId="100BD45B" w14:textId="77777777" w:rsidR="001F55BE" w:rsidRDefault="001F55BE" w:rsidP="001F55BE">
            <w:pPr>
              <w:pStyle w:val="Tabletext"/>
              <w:jc w:val="center"/>
              <w:rPr>
                <w:sz w:val="18"/>
                <w:szCs w:val="18"/>
              </w:rPr>
            </w:pPr>
            <w:r>
              <w:rPr>
                <w:sz w:val="18"/>
                <w:szCs w:val="18"/>
              </w:rPr>
              <w:lastRenderedPageBreak/>
              <w:t>9</w:t>
            </w:r>
          </w:p>
        </w:tc>
        <w:tc>
          <w:tcPr>
            <w:tcW w:w="4760" w:type="dxa"/>
            <w:shd w:val="clear" w:color="auto" w:fill="auto"/>
          </w:tcPr>
          <w:p w14:paraId="30DE554A" w14:textId="77777777" w:rsidR="001F55BE" w:rsidRPr="001F55BE" w:rsidRDefault="001F55BE" w:rsidP="001F55BE">
            <w:pPr>
              <w:pStyle w:val="Default"/>
              <w:spacing w:after="267"/>
              <w:rPr>
                <w:sz w:val="18"/>
                <w:szCs w:val="18"/>
                <w:lang w:val="en-US"/>
              </w:rPr>
            </w:pPr>
            <w:r w:rsidRPr="001F55BE">
              <w:rPr>
                <w:sz w:val="18"/>
                <w:szCs w:val="18"/>
                <w:lang w:val="en-US"/>
              </w:rPr>
              <w:t xml:space="preserve">For the valuation of financial liabilities, verify if the valuation excludes any adjustment to take account of changes in the undertaking’s own credit standing after initial recognition. </w:t>
            </w:r>
          </w:p>
        </w:tc>
        <w:tc>
          <w:tcPr>
            <w:tcW w:w="1418" w:type="dxa"/>
            <w:shd w:val="clear" w:color="auto" w:fill="auto"/>
          </w:tcPr>
          <w:p w14:paraId="5C7AD47E" w14:textId="77777777" w:rsidR="001F55BE" w:rsidRPr="00A169AB" w:rsidRDefault="001F55BE" w:rsidP="001F55BE">
            <w:pPr>
              <w:pStyle w:val="Default"/>
              <w:spacing w:after="267"/>
              <w:rPr>
                <w:sz w:val="18"/>
                <w:szCs w:val="18"/>
                <w:lang w:val="en-US"/>
              </w:rPr>
            </w:pPr>
          </w:p>
        </w:tc>
        <w:tc>
          <w:tcPr>
            <w:tcW w:w="2716" w:type="dxa"/>
            <w:shd w:val="clear" w:color="auto" w:fill="auto"/>
          </w:tcPr>
          <w:p w14:paraId="254D1A16" w14:textId="328A8F5E" w:rsidR="001F55BE" w:rsidRPr="001F7B8F" w:rsidRDefault="001F55BE" w:rsidP="006974AE">
            <w:pPr>
              <w:pStyle w:val="Header"/>
              <w:spacing w:before="60" w:after="60"/>
              <w:ind w:left="340"/>
              <w:rPr>
                <w:sz w:val="18"/>
                <w:szCs w:val="18"/>
              </w:rPr>
            </w:pPr>
            <w:r w:rsidRPr="000C0517">
              <w:rPr>
                <w:sz w:val="18"/>
                <w:szCs w:val="18"/>
              </w:rPr>
              <w:t xml:space="preserve">Guidelines on recognition and valuation of assets and </w:t>
            </w:r>
            <w:r w:rsidRPr="00812675">
              <w:rPr>
                <w:sz w:val="18"/>
                <w:szCs w:val="18"/>
              </w:rPr>
              <w:t xml:space="preserve">liabilities other than technical provisions </w:t>
            </w:r>
            <w:r w:rsidR="003349AF" w:rsidRPr="006974AE">
              <w:rPr>
                <w:sz w:val="18"/>
                <w:szCs w:val="18"/>
              </w:rPr>
              <w:t>(NBB/BNB Circular</w:t>
            </w:r>
            <w:r w:rsidR="00427E29">
              <w:rPr>
                <w:sz w:val="18"/>
                <w:szCs w:val="18"/>
              </w:rPr>
              <w:t xml:space="preserve"> 2016_28 and Circular 2016_8</w:t>
            </w:r>
            <w:r w:rsidR="003349AF" w:rsidRPr="006974AE">
              <w:rPr>
                <w:sz w:val="18"/>
                <w:szCs w:val="18"/>
              </w:rPr>
              <w:t>)</w:t>
            </w:r>
          </w:p>
        </w:tc>
        <w:tc>
          <w:tcPr>
            <w:tcW w:w="2245" w:type="dxa"/>
            <w:shd w:val="clear" w:color="auto" w:fill="auto"/>
          </w:tcPr>
          <w:p w14:paraId="19EE73DE" w14:textId="77777777" w:rsidR="001F55BE" w:rsidRPr="00B8299A" w:rsidRDefault="001F55BE" w:rsidP="001F55BE">
            <w:pPr>
              <w:pStyle w:val="Header"/>
              <w:tabs>
                <w:tab w:val="clear" w:pos="4320"/>
                <w:tab w:val="clear" w:pos="8640"/>
              </w:tabs>
              <w:spacing w:before="60" w:after="60"/>
              <w:rPr>
                <w:sz w:val="18"/>
                <w:szCs w:val="18"/>
                <w:lang w:val="en-GB"/>
              </w:rPr>
            </w:pPr>
          </w:p>
        </w:tc>
        <w:tc>
          <w:tcPr>
            <w:tcW w:w="632" w:type="dxa"/>
            <w:shd w:val="clear" w:color="auto" w:fill="auto"/>
          </w:tcPr>
          <w:p w14:paraId="6BDFD620" w14:textId="77777777" w:rsidR="001F55BE" w:rsidRPr="00BD0EF2" w:rsidRDefault="001F55BE" w:rsidP="001F55BE">
            <w:pPr>
              <w:pStyle w:val="Header"/>
              <w:tabs>
                <w:tab w:val="clear" w:pos="4320"/>
                <w:tab w:val="clear" w:pos="8640"/>
              </w:tabs>
              <w:spacing w:before="60" w:after="60"/>
              <w:rPr>
                <w:sz w:val="18"/>
                <w:szCs w:val="18"/>
              </w:rPr>
            </w:pPr>
          </w:p>
        </w:tc>
      </w:tr>
      <w:tr w:rsidR="001F55BE" w:rsidRPr="0063699D" w14:paraId="13A14BA4" w14:textId="77777777" w:rsidTr="00F97390">
        <w:trPr>
          <w:trHeight w:val="1099"/>
        </w:trPr>
        <w:tc>
          <w:tcPr>
            <w:tcW w:w="1018" w:type="dxa"/>
            <w:shd w:val="clear" w:color="auto" w:fill="auto"/>
          </w:tcPr>
          <w:p w14:paraId="2FED3982" w14:textId="77777777" w:rsidR="001F55BE" w:rsidRPr="00BD0EF2" w:rsidRDefault="001F55BE" w:rsidP="001F55BE">
            <w:pPr>
              <w:pStyle w:val="Tabletext"/>
              <w:jc w:val="center"/>
              <w:rPr>
                <w:sz w:val="18"/>
                <w:szCs w:val="18"/>
              </w:rPr>
            </w:pPr>
            <w:r>
              <w:rPr>
                <w:sz w:val="18"/>
                <w:szCs w:val="18"/>
              </w:rPr>
              <w:t>10</w:t>
            </w:r>
          </w:p>
        </w:tc>
        <w:tc>
          <w:tcPr>
            <w:tcW w:w="4760" w:type="dxa"/>
            <w:shd w:val="clear" w:color="auto" w:fill="auto"/>
          </w:tcPr>
          <w:p w14:paraId="3AC40559" w14:textId="77777777" w:rsidR="001F55BE" w:rsidRPr="00BD0EF2" w:rsidRDefault="001F55BE" w:rsidP="001F55BE">
            <w:pPr>
              <w:pStyle w:val="Default"/>
              <w:spacing w:after="267"/>
              <w:rPr>
                <w:sz w:val="18"/>
                <w:szCs w:val="18"/>
                <w:lang w:val="en-US"/>
              </w:rPr>
            </w:pPr>
            <w:r w:rsidRPr="00BD0EF2">
              <w:rPr>
                <w:sz w:val="18"/>
                <w:szCs w:val="18"/>
                <w:lang w:val="en-US"/>
              </w:rPr>
              <w:t>Reconcile the technical provisions included in the economical balance with the outcome of the audit procedures included in the audit/assurance programs on the best estimate and risk margin.</w:t>
            </w:r>
          </w:p>
        </w:tc>
        <w:tc>
          <w:tcPr>
            <w:tcW w:w="1418" w:type="dxa"/>
            <w:shd w:val="clear" w:color="auto" w:fill="auto"/>
          </w:tcPr>
          <w:p w14:paraId="0D0DE800" w14:textId="77777777" w:rsidR="001F55BE" w:rsidRPr="00BD0EF2" w:rsidRDefault="001F55BE" w:rsidP="001F55BE">
            <w:pPr>
              <w:pStyle w:val="Default"/>
              <w:spacing w:after="267"/>
              <w:rPr>
                <w:sz w:val="18"/>
                <w:szCs w:val="18"/>
                <w:lang w:val="en-US"/>
              </w:rPr>
            </w:pPr>
            <w:r w:rsidRPr="00BD0EF2">
              <w:rPr>
                <w:sz w:val="18"/>
                <w:szCs w:val="18"/>
                <w:lang w:val="en-US"/>
              </w:rPr>
              <w:t>Economical balance sheet</w:t>
            </w:r>
          </w:p>
        </w:tc>
        <w:tc>
          <w:tcPr>
            <w:tcW w:w="2716" w:type="dxa"/>
            <w:shd w:val="clear" w:color="auto" w:fill="auto"/>
          </w:tcPr>
          <w:p w14:paraId="6989F21C" w14:textId="77777777" w:rsidR="001F55BE" w:rsidRPr="00BD0EF2" w:rsidRDefault="001F55BE" w:rsidP="001F55BE">
            <w:pPr>
              <w:pStyle w:val="Header"/>
              <w:tabs>
                <w:tab w:val="clear" w:pos="4320"/>
                <w:tab w:val="clear" w:pos="8640"/>
              </w:tabs>
              <w:spacing w:before="60" w:after="60"/>
              <w:jc w:val="center"/>
              <w:rPr>
                <w:sz w:val="18"/>
                <w:szCs w:val="18"/>
              </w:rPr>
            </w:pPr>
          </w:p>
        </w:tc>
        <w:tc>
          <w:tcPr>
            <w:tcW w:w="2245" w:type="dxa"/>
            <w:shd w:val="clear" w:color="auto" w:fill="auto"/>
          </w:tcPr>
          <w:p w14:paraId="6C19F928" w14:textId="77777777" w:rsidR="001F55BE" w:rsidRPr="00BD0EF2" w:rsidRDefault="001F55BE" w:rsidP="001F55BE">
            <w:pPr>
              <w:pStyle w:val="Header"/>
              <w:tabs>
                <w:tab w:val="clear" w:pos="4320"/>
                <w:tab w:val="clear" w:pos="8640"/>
              </w:tabs>
              <w:spacing w:before="60" w:after="60"/>
              <w:rPr>
                <w:sz w:val="18"/>
                <w:szCs w:val="18"/>
              </w:rPr>
            </w:pPr>
          </w:p>
        </w:tc>
        <w:tc>
          <w:tcPr>
            <w:tcW w:w="632" w:type="dxa"/>
            <w:shd w:val="clear" w:color="auto" w:fill="auto"/>
          </w:tcPr>
          <w:p w14:paraId="3B785D55" w14:textId="77777777" w:rsidR="001F55BE" w:rsidRPr="00BD0EF2" w:rsidRDefault="001F55BE" w:rsidP="001F55BE">
            <w:pPr>
              <w:pStyle w:val="Header"/>
              <w:tabs>
                <w:tab w:val="clear" w:pos="4320"/>
                <w:tab w:val="clear" w:pos="8640"/>
              </w:tabs>
              <w:spacing w:before="60" w:after="60"/>
              <w:rPr>
                <w:sz w:val="18"/>
                <w:szCs w:val="18"/>
              </w:rPr>
            </w:pPr>
          </w:p>
        </w:tc>
      </w:tr>
      <w:tr w:rsidR="001F55BE" w:rsidRPr="0063699D" w14:paraId="024DC81D" w14:textId="77777777" w:rsidTr="00F97390">
        <w:trPr>
          <w:trHeight w:val="1099"/>
        </w:trPr>
        <w:tc>
          <w:tcPr>
            <w:tcW w:w="1018" w:type="dxa"/>
            <w:shd w:val="clear" w:color="auto" w:fill="auto"/>
          </w:tcPr>
          <w:p w14:paraId="2DDF8A2D" w14:textId="77777777" w:rsidR="001F55BE" w:rsidRPr="00BD0EF2" w:rsidRDefault="001F55BE" w:rsidP="001F55BE">
            <w:pPr>
              <w:pStyle w:val="Tabletext"/>
              <w:jc w:val="center"/>
              <w:rPr>
                <w:sz w:val="18"/>
                <w:szCs w:val="18"/>
              </w:rPr>
            </w:pPr>
            <w:r>
              <w:rPr>
                <w:sz w:val="18"/>
                <w:szCs w:val="18"/>
              </w:rPr>
              <w:t>11</w:t>
            </w:r>
          </w:p>
        </w:tc>
        <w:tc>
          <w:tcPr>
            <w:tcW w:w="4760" w:type="dxa"/>
            <w:shd w:val="clear" w:color="auto" w:fill="auto"/>
          </w:tcPr>
          <w:p w14:paraId="73C4B1A4" w14:textId="77777777" w:rsidR="001F55BE" w:rsidRPr="00BD0EF2" w:rsidRDefault="001F55BE" w:rsidP="001F55BE">
            <w:pPr>
              <w:pStyle w:val="Default"/>
              <w:spacing w:after="267"/>
              <w:rPr>
                <w:sz w:val="18"/>
                <w:szCs w:val="18"/>
                <w:lang w:val="en-US"/>
              </w:rPr>
            </w:pPr>
            <w:r w:rsidRPr="00BD0EF2">
              <w:rPr>
                <w:sz w:val="18"/>
                <w:szCs w:val="18"/>
                <w:lang w:val="en-US"/>
              </w:rPr>
              <w:t>When no IFRS financial statements are prepared, use standardized IFRS checklists in order to ensure that all differences between the BEGAAP financial statements and the economical balance sheet have been identified.</w:t>
            </w:r>
          </w:p>
        </w:tc>
        <w:tc>
          <w:tcPr>
            <w:tcW w:w="1418" w:type="dxa"/>
            <w:shd w:val="clear" w:color="auto" w:fill="auto"/>
          </w:tcPr>
          <w:p w14:paraId="5BDFE3DA" w14:textId="77777777" w:rsidR="001F55BE" w:rsidRPr="00BD0EF2" w:rsidRDefault="001F55BE" w:rsidP="001F55BE">
            <w:pPr>
              <w:pStyle w:val="Default"/>
              <w:spacing w:after="267"/>
              <w:rPr>
                <w:sz w:val="18"/>
                <w:szCs w:val="18"/>
                <w:lang w:val="en-US"/>
              </w:rPr>
            </w:pPr>
            <w:r w:rsidRPr="00BD0EF2">
              <w:rPr>
                <w:sz w:val="18"/>
                <w:szCs w:val="18"/>
                <w:lang w:val="en-US"/>
              </w:rPr>
              <w:t>Economical balance sheet</w:t>
            </w:r>
          </w:p>
        </w:tc>
        <w:tc>
          <w:tcPr>
            <w:tcW w:w="2716" w:type="dxa"/>
            <w:shd w:val="clear" w:color="auto" w:fill="auto"/>
          </w:tcPr>
          <w:p w14:paraId="37350507" w14:textId="77777777" w:rsidR="001F55BE" w:rsidRPr="00BD0EF2" w:rsidRDefault="001F55BE" w:rsidP="001F55BE">
            <w:pPr>
              <w:pStyle w:val="Header"/>
              <w:tabs>
                <w:tab w:val="clear" w:pos="4320"/>
                <w:tab w:val="clear" w:pos="8640"/>
              </w:tabs>
              <w:spacing w:before="60" w:after="60"/>
              <w:jc w:val="center"/>
              <w:rPr>
                <w:sz w:val="18"/>
                <w:szCs w:val="18"/>
              </w:rPr>
            </w:pPr>
          </w:p>
        </w:tc>
        <w:tc>
          <w:tcPr>
            <w:tcW w:w="2245" w:type="dxa"/>
            <w:shd w:val="clear" w:color="auto" w:fill="auto"/>
          </w:tcPr>
          <w:p w14:paraId="080EA76D" w14:textId="77777777" w:rsidR="001F55BE" w:rsidRPr="00BD0EF2" w:rsidRDefault="001F55BE" w:rsidP="001F55BE">
            <w:pPr>
              <w:pStyle w:val="Header"/>
              <w:tabs>
                <w:tab w:val="clear" w:pos="4320"/>
                <w:tab w:val="clear" w:pos="8640"/>
              </w:tabs>
              <w:spacing w:before="60" w:after="60"/>
              <w:rPr>
                <w:sz w:val="18"/>
                <w:szCs w:val="18"/>
              </w:rPr>
            </w:pPr>
          </w:p>
        </w:tc>
        <w:tc>
          <w:tcPr>
            <w:tcW w:w="632" w:type="dxa"/>
            <w:shd w:val="clear" w:color="auto" w:fill="auto"/>
          </w:tcPr>
          <w:p w14:paraId="3539B7D2" w14:textId="77777777" w:rsidR="001F55BE" w:rsidRPr="00BD0EF2" w:rsidRDefault="001F55BE" w:rsidP="001F55BE">
            <w:pPr>
              <w:pStyle w:val="Header"/>
              <w:tabs>
                <w:tab w:val="clear" w:pos="4320"/>
                <w:tab w:val="clear" w:pos="8640"/>
              </w:tabs>
              <w:spacing w:before="60" w:after="60"/>
              <w:rPr>
                <w:sz w:val="18"/>
                <w:szCs w:val="18"/>
              </w:rPr>
            </w:pPr>
          </w:p>
        </w:tc>
      </w:tr>
      <w:tr w:rsidR="001F55BE" w:rsidRPr="0063699D" w14:paraId="3A880BEB" w14:textId="77777777" w:rsidTr="00F97390">
        <w:trPr>
          <w:trHeight w:val="1099"/>
        </w:trPr>
        <w:tc>
          <w:tcPr>
            <w:tcW w:w="1018" w:type="dxa"/>
            <w:shd w:val="clear" w:color="auto" w:fill="auto"/>
          </w:tcPr>
          <w:p w14:paraId="7D02A552" w14:textId="77777777" w:rsidR="001F55BE" w:rsidRPr="00BD0EF2" w:rsidRDefault="001F55BE" w:rsidP="001F55BE">
            <w:pPr>
              <w:pStyle w:val="Tabletext"/>
              <w:jc w:val="center"/>
              <w:rPr>
                <w:sz w:val="18"/>
                <w:szCs w:val="18"/>
              </w:rPr>
            </w:pPr>
            <w:r>
              <w:rPr>
                <w:sz w:val="18"/>
                <w:szCs w:val="18"/>
              </w:rPr>
              <w:t>12</w:t>
            </w:r>
          </w:p>
        </w:tc>
        <w:tc>
          <w:tcPr>
            <w:tcW w:w="4760" w:type="dxa"/>
            <w:shd w:val="clear" w:color="auto" w:fill="auto"/>
          </w:tcPr>
          <w:p w14:paraId="698D421C" w14:textId="77777777" w:rsidR="001F55BE" w:rsidRPr="00BD0EF2" w:rsidRDefault="001F55BE" w:rsidP="001F55BE">
            <w:pPr>
              <w:pStyle w:val="Default"/>
              <w:spacing w:after="267"/>
              <w:rPr>
                <w:sz w:val="18"/>
                <w:szCs w:val="18"/>
                <w:lang w:val="en-US"/>
              </w:rPr>
            </w:pPr>
            <w:r w:rsidRPr="00BD0EF2">
              <w:rPr>
                <w:sz w:val="18"/>
                <w:szCs w:val="18"/>
                <w:lang w:val="en-US"/>
              </w:rPr>
              <w:t>Review the QRT’s relating to the economical balance sheet, reconcile with underlying schedules and check that presentation is consistent with the relevant principles and guidance</w:t>
            </w:r>
          </w:p>
        </w:tc>
        <w:tc>
          <w:tcPr>
            <w:tcW w:w="1418" w:type="dxa"/>
            <w:shd w:val="clear" w:color="auto" w:fill="auto"/>
          </w:tcPr>
          <w:p w14:paraId="6B2E1EBC" w14:textId="77777777" w:rsidR="001F55BE" w:rsidRPr="00BD0EF2" w:rsidRDefault="001F55BE" w:rsidP="001F55BE">
            <w:pPr>
              <w:pStyle w:val="Default"/>
              <w:spacing w:after="267"/>
              <w:rPr>
                <w:sz w:val="18"/>
                <w:szCs w:val="18"/>
                <w:lang w:val="en-US"/>
              </w:rPr>
            </w:pPr>
            <w:r w:rsidRPr="00BD0EF2">
              <w:rPr>
                <w:sz w:val="18"/>
                <w:szCs w:val="18"/>
                <w:lang w:val="en-US"/>
              </w:rPr>
              <w:t>Economical balance sheet</w:t>
            </w:r>
          </w:p>
        </w:tc>
        <w:tc>
          <w:tcPr>
            <w:tcW w:w="2716" w:type="dxa"/>
            <w:shd w:val="clear" w:color="auto" w:fill="auto"/>
          </w:tcPr>
          <w:p w14:paraId="635E0815" w14:textId="77777777" w:rsidR="001F55BE" w:rsidRPr="00BD0EF2" w:rsidRDefault="001F55BE" w:rsidP="001F55BE">
            <w:pPr>
              <w:pStyle w:val="Header"/>
              <w:tabs>
                <w:tab w:val="clear" w:pos="4320"/>
                <w:tab w:val="clear" w:pos="8640"/>
              </w:tabs>
              <w:spacing w:before="60" w:after="60"/>
              <w:jc w:val="center"/>
              <w:rPr>
                <w:sz w:val="18"/>
                <w:szCs w:val="18"/>
              </w:rPr>
            </w:pPr>
          </w:p>
        </w:tc>
        <w:tc>
          <w:tcPr>
            <w:tcW w:w="2245" w:type="dxa"/>
            <w:shd w:val="clear" w:color="auto" w:fill="auto"/>
          </w:tcPr>
          <w:p w14:paraId="2968FC26" w14:textId="77777777" w:rsidR="001F55BE" w:rsidRPr="00BD0EF2" w:rsidRDefault="001F55BE" w:rsidP="001F55BE">
            <w:pPr>
              <w:pStyle w:val="Header"/>
              <w:tabs>
                <w:tab w:val="clear" w:pos="4320"/>
                <w:tab w:val="clear" w:pos="8640"/>
              </w:tabs>
              <w:spacing w:before="60" w:after="60"/>
              <w:rPr>
                <w:sz w:val="18"/>
                <w:szCs w:val="18"/>
              </w:rPr>
            </w:pPr>
          </w:p>
        </w:tc>
        <w:tc>
          <w:tcPr>
            <w:tcW w:w="632" w:type="dxa"/>
            <w:shd w:val="clear" w:color="auto" w:fill="auto"/>
          </w:tcPr>
          <w:p w14:paraId="3B9E1492" w14:textId="77777777" w:rsidR="001F55BE" w:rsidRPr="00BD0EF2" w:rsidRDefault="001F55BE" w:rsidP="001F55BE">
            <w:pPr>
              <w:pStyle w:val="Header"/>
              <w:tabs>
                <w:tab w:val="clear" w:pos="4320"/>
                <w:tab w:val="clear" w:pos="8640"/>
              </w:tabs>
              <w:spacing w:before="60" w:after="60"/>
              <w:rPr>
                <w:sz w:val="18"/>
                <w:szCs w:val="18"/>
              </w:rPr>
            </w:pPr>
          </w:p>
        </w:tc>
      </w:tr>
      <w:tr w:rsidR="001F55BE" w:rsidRPr="0063699D" w14:paraId="1CE70D8F" w14:textId="77777777" w:rsidTr="00F97390">
        <w:trPr>
          <w:trHeight w:val="1099"/>
        </w:trPr>
        <w:tc>
          <w:tcPr>
            <w:tcW w:w="1018" w:type="dxa"/>
            <w:shd w:val="clear" w:color="auto" w:fill="auto"/>
          </w:tcPr>
          <w:p w14:paraId="103DF8E9" w14:textId="77777777" w:rsidR="001F55BE" w:rsidRPr="008B1C1A" w:rsidRDefault="001F55BE" w:rsidP="001F55BE">
            <w:pPr>
              <w:pStyle w:val="Header"/>
              <w:tabs>
                <w:tab w:val="clear" w:pos="4320"/>
                <w:tab w:val="clear" w:pos="8640"/>
              </w:tabs>
              <w:spacing w:before="60" w:after="60"/>
              <w:jc w:val="center"/>
              <w:rPr>
                <w:sz w:val="20"/>
                <w:szCs w:val="20"/>
              </w:rPr>
            </w:pPr>
          </w:p>
        </w:tc>
        <w:tc>
          <w:tcPr>
            <w:tcW w:w="4760" w:type="dxa"/>
            <w:shd w:val="clear" w:color="auto" w:fill="auto"/>
          </w:tcPr>
          <w:p w14:paraId="3482C183" w14:textId="77777777" w:rsidR="001F55BE" w:rsidRPr="00BD0EF2" w:rsidRDefault="001F55BE" w:rsidP="001F55BE">
            <w:pPr>
              <w:pStyle w:val="Header"/>
              <w:tabs>
                <w:tab w:val="clear" w:pos="4320"/>
                <w:tab w:val="clear" w:pos="8640"/>
              </w:tabs>
              <w:spacing w:before="60" w:after="60"/>
              <w:rPr>
                <w:sz w:val="18"/>
                <w:szCs w:val="18"/>
              </w:rPr>
            </w:pPr>
            <w:r w:rsidRPr="00BD0EF2">
              <w:rPr>
                <w:sz w:val="18"/>
                <w:szCs w:val="18"/>
              </w:rPr>
              <w:t xml:space="preserve">Update and amend, if appropriate, the assessment of </w:t>
            </w:r>
            <w:proofErr w:type="spellStart"/>
            <w:r w:rsidRPr="00BD0EF2">
              <w:rPr>
                <w:sz w:val="18"/>
                <w:szCs w:val="18"/>
              </w:rPr>
              <w:t>RoSM</w:t>
            </w:r>
            <w:proofErr w:type="spellEnd"/>
            <w:r w:rsidRPr="00BD0EF2">
              <w:rPr>
                <w:sz w:val="18"/>
                <w:szCs w:val="18"/>
              </w:rPr>
              <w:t xml:space="preserve"> and the rationale, and re-evaluate the planned audit/assurance procedures.</w:t>
            </w:r>
          </w:p>
        </w:tc>
        <w:tc>
          <w:tcPr>
            <w:tcW w:w="1418" w:type="dxa"/>
            <w:shd w:val="clear" w:color="auto" w:fill="auto"/>
          </w:tcPr>
          <w:p w14:paraId="17468147" w14:textId="77777777" w:rsidR="001F55BE" w:rsidRPr="00BD0EF2" w:rsidRDefault="001F55BE" w:rsidP="001F55BE">
            <w:pPr>
              <w:pStyle w:val="Header"/>
              <w:tabs>
                <w:tab w:val="clear" w:pos="4320"/>
                <w:tab w:val="clear" w:pos="8640"/>
              </w:tabs>
              <w:spacing w:before="60" w:after="60"/>
              <w:rPr>
                <w:sz w:val="18"/>
                <w:szCs w:val="18"/>
              </w:rPr>
            </w:pPr>
          </w:p>
        </w:tc>
        <w:tc>
          <w:tcPr>
            <w:tcW w:w="2716" w:type="dxa"/>
            <w:shd w:val="clear" w:color="auto" w:fill="auto"/>
          </w:tcPr>
          <w:p w14:paraId="06DA4D99" w14:textId="77777777" w:rsidR="001F55BE" w:rsidRPr="00BD0EF2" w:rsidRDefault="001F55BE" w:rsidP="001F55BE">
            <w:pPr>
              <w:pStyle w:val="Header"/>
              <w:tabs>
                <w:tab w:val="clear" w:pos="4320"/>
                <w:tab w:val="clear" w:pos="8640"/>
              </w:tabs>
              <w:spacing w:before="60" w:after="60"/>
              <w:jc w:val="center"/>
              <w:rPr>
                <w:sz w:val="18"/>
                <w:szCs w:val="18"/>
              </w:rPr>
            </w:pPr>
          </w:p>
        </w:tc>
        <w:tc>
          <w:tcPr>
            <w:tcW w:w="2245" w:type="dxa"/>
            <w:shd w:val="clear" w:color="auto" w:fill="auto"/>
          </w:tcPr>
          <w:p w14:paraId="7FDFA106" w14:textId="77777777" w:rsidR="001F55BE" w:rsidRPr="00BD0EF2" w:rsidRDefault="001F55BE" w:rsidP="001F55BE">
            <w:pPr>
              <w:pStyle w:val="Header"/>
              <w:tabs>
                <w:tab w:val="clear" w:pos="4320"/>
                <w:tab w:val="clear" w:pos="8640"/>
              </w:tabs>
              <w:spacing w:before="60" w:after="60"/>
              <w:rPr>
                <w:sz w:val="18"/>
                <w:szCs w:val="18"/>
              </w:rPr>
            </w:pPr>
          </w:p>
        </w:tc>
        <w:tc>
          <w:tcPr>
            <w:tcW w:w="632" w:type="dxa"/>
            <w:shd w:val="clear" w:color="auto" w:fill="auto"/>
          </w:tcPr>
          <w:p w14:paraId="41315718" w14:textId="77777777" w:rsidR="001F55BE" w:rsidRPr="00BD0EF2" w:rsidRDefault="001F55BE" w:rsidP="001F55BE">
            <w:pPr>
              <w:pStyle w:val="Header"/>
              <w:tabs>
                <w:tab w:val="clear" w:pos="4320"/>
                <w:tab w:val="clear" w:pos="8640"/>
              </w:tabs>
              <w:spacing w:before="60" w:after="60"/>
              <w:rPr>
                <w:sz w:val="18"/>
                <w:szCs w:val="18"/>
              </w:rPr>
            </w:pPr>
          </w:p>
        </w:tc>
      </w:tr>
    </w:tbl>
    <w:p w14:paraId="66FFF89E" w14:textId="77777777" w:rsidR="0042368D" w:rsidRDefault="0042368D" w:rsidP="0042368D"/>
    <w:p w14:paraId="04F1C528" w14:textId="77777777" w:rsidR="0042368D" w:rsidRDefault="0042368D" w:rsidP="0042368D"/>
    <w:p w14:paraId="4A253765" w14:textId="77777777" w:rsidR="0042368D" w:rsidRDefault="0042368D" w:rsidP="0042368D"/>
    <w:p w14:paraId="10CAE972" w14:textId="77777777" w:rsidR="0042368D" w:rsidRDefault="0042368D" w:rsidP="0042368D"/>
    <w:p w14:paraId="536A8664" w14:textId="77777777" w:rsidR="0042368D" w:rsidRDefault="0042368D" w:rsidP="0042368D"/>
    <w:p w14:paraId="38B28B36" w14:textId="77777777" w:rsidR="00CF4E45" w:rsidRDefault="00CF4E45">
      <w:bookmarkStart w:id="1" w:name="_A.3_Substantive_audit"/>
      <w:bookmarkStart w:id="2" w:name="_IV._Audit_objectives"/>
      <w:bookmarkEnd w:id="1"/>
      <w:bookmarkEnd w:id="2"/>
    </w:p>
    <w:sectPr w:rsidR="00CF4E45" w:rsidSect="0042368D">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7FE1" w14:textId="77777777" w:rsidR="009047EC" w:rsidRDefault="009047EC" w:rsidP="0042368D">
      <w:r>
        <w:separator/>
      </w:r>
    </w:p>
  </w:endnote>
  <w:endnote w:type="continuationSeparator" w:id="0">
    <w:p w14:paraId="41E7B211" w14:textId="77777777" w:rsidR="009047EC" w:rsidRDefault="009047EC" w:rsidP="0042368D">
      <w:r>
        <w:continuationSeparator/>
      </w:r>
    </w:p>
  </w:endnote>
  <w:endnote w:type="continuationNotice" w:id="1">
    <w:p w14:paraId="3958DE67" w14:textId="77777777" w:rsidR="009047EC" w:rsidRDefault="00904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7333" w14:textId="77777777" w:rsidR="00814AA5" w:rsidRDefault="00814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115627"/>
      <w:docPartObj>
        <w:docPartGallery w:val="Page Numbers (Bottom of Page)"/>
        <w:docPartUnique/>
      </w:docPartObj>
    </w:sdtPr>
    <w:sdtEndPr/>
    <w:sdtContent>
      <w:sdt>
        <w:sdtPr>
          <w:id w:val="-1769616900"/>
          <w:docPartObj>
            <w:docPartGallery w:val="Page Numbers (Top of Page)"/>
            <w:docPartUnique/>
          </w:docPartObj>
        </w:sdtPr>
        <w:sdtEndPr/>
        <w:sdtContent>
          <w:p w14:paraId="7EADECAD" w14:textId="7B3D5E24" w:rsidR="00814AA5" w:rsidRDefault="00814AA5">
            <w:pPr>
              <w:pStyle w:val="Footer"/>
              <w:jc w:val="right"/>
            </w:pPr>
            <w:r w:rsidRPr="00814AA5">
              <w:rPr>
                <w:sz w:val="18"/>
                <w:szCs w:val="18"/>
              </w:rPr>
              <w:t xml:space="preserve">Page </w:t>
            </w:r>
            <w:r w:rsidRPr="00814AA5">
              <w:rPr>
                <w:b/>
                <w:bCs/>
                <w:sz w:val="18"/>
                <w:szCs w:val="18"/>
              </w:rPr>
              <w:fldChar w:fldCharType="begin"/>
            </w:r>
            <w:r w:rsidRPr="00814AA5">
              <w:rPr>
                <w:b/>
                <w:bCs/>
                <w:sz w:val="18"/>
                <w:szCs w:val="18"/>
              </w:rPr>
              <w:instrText xml:space="preserve"> PAGE </w:instrText>
            </w:r>
            <w:r w:rsidRPr="00814AA5">
              <w:rPr>
                <w:b/>
                <w:bCs/>
                <w:sz w:val="18"/>
                <w:szCs w:val="18"/>
              </w:rPr>
              <w:fldChar w:fldCharType="separate"/>
            </w:r>
            <w:r>
              <w:rPr>
                <w:b/>
                <w:bCs/>
                <w:noProof/>
                <w:sz w:val="18"/>
                <w:szCs w:val="18"/>
              </w:rPr>
              <w:t>9</w:t>
            </w:r>
            <w:r w:rsidRPr="00814AA5">
              <w:rPr>
                <w:b/>
                <w:bCs/>
                <w:sz w:val="18"/>
                <w:szCs w:val="18"/>
              </w:rPr>
              <w:fldChar w:fldCharType="end"/>
            </w:r>
            <w:r w:rsidRPr="00814AA5">
              <w:rPr>
                <w:sz w:val="18"/>
                <w:szCs w:val="18"/>
              </w:rPr>
              <w:t xml:space="preserve"> of </w:t>
            </w:r>
            <w:r w:rsidRPr="00814AA5">
              <w:rPr>
                <w:b/>
                <w:bCs/>
                <w:sz w:val="18"/>
                <w:szCs w:val="18"/>
              </w:rPr>
              <w:fldChar w:fldCharType="begin"/>
            </w:r>
            <w:r w:rsidRPr="00814AA5">
              <w:rPr>
                <w:b/>
                <w:bCs/>
                <w:sz w:val="18"/>
                <w:szCs w:val="18"/>
              </w:rPr>
              <w:instrText xml:space="preserve"> NUMPAGES  </w:instrText>
            </w:r>
            <w:r w:rsidRPr="00814AA5">
              <w:rPr>
                <w:b/>
                <w:bCs/>
                <w:sz w:val="18"/>
                <w:szCs w:val="18"/>
              </w:rPr>
              <w:fldChar w:fldCharType="separate"/>
            </w:r>
            <w:r>
              <w:rPr>
                <w:b/>
                <w:bCs/>
                <w:noProof/>
                <w:sz w:val="18"/>
                <w:szCs w:val="18"/>
              </w:rPr>
              <w:t>9</w:t>
            </w:r>
            <w:r w:rsidRPr="00814AA5">
              <w:rPr>
                <w:b/>
                <w:bCs/>
                <w:sz w:val="18"/>
                <w:szCs w:val="18"/>
              </w:rPr>
              <w:fldChar w:fldCharType="end"/>
            </w:r>
          </w:p>
        </w:sdtContent>
      </w:sdt>
    </w:sdtContent>
  </w:sdt>
  <w:p w14:paraId="400C0045" w14:textId="77777777" w:rsidR="00814AA5" w:rsidRDefault="00814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CEE6" w14:textId="77777777" w:rsidR="00814AA5" w:rsidRDefault="0081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BA39" w14:textId="77777777" w:rsidR="009047EC" w:rsidRDefault="009047EC" w:rsidP="0042368D">
      <w:r>
        <w:separator/>
      </w:r>
    </w:p>
  </w:footnote>
  <w:footnote w:type="continuationSeparator" w:id="0">
    <w:p w14:paraId="45EC7540" w14:textId="77777777" w:rsidR="009047EC" w:rsidRDefault="009047EC" w:rsidP="0042368D">
      <w:r>
        <w:continuationSeparator/>
      </w:r>
    </w:p>
  </w:footnote>
  <w:footnote w:type="continuationNotice" w:id="1">
    <w:p w14:paraId="0EB28558" w14:textId="77777777" w:rsidR="009047EC" w:rsidRDefault="00904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9309" w14:textId="77777777" w:rsidR="00814AA5" w:rsidRDefault="00814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CA63" w14:textId="2545123F" w:rsidR="000B1B25" w:rsidRPr="00814AA5" w:rsidRDefault="000B1B25" w:rsidP="0042368D">
    <w:pPr>
      <w:widowControl w:val="0"/>
      <w:spacing w:line="307" w:lineRule="exact"/>
      <w:ind w:left="-42"/>
      <w:jc w:val="right"/>
      <w:rPr>
        <w:rFonts w:eastAsia="Arial"/>
        <w:b/>
        <w:bCs/>
        <w:spacing w:val="-4"/>
        <w:sz w:val="22"/>
        <w:szCs w:val="22"/>
      </w:rPr>
    </w:pPr>
    <w:r w:rsidRPr="00814AA5">
      <w:rPr>
        <w:rFonts w:eastAsia="Arial"/>
        <w:b/>
        <w:bCs/>
        <w:spacing w:val="-4"/>
        <w:sz w:val="22"/>
        <w:szCs w:val="22"/>
      </w:rPr>
      <w:t xml:space="preserve">Audit/Assurance Program </w:t>
    </w:r>
  </w:p>
  <w:p w14:paraId="610225BC" w14:textId="77777777" w:rsidR="000B1B25" w:rsidRPr="00814AA5" w:rsidRDefault="000B1B25" w:rsidP="0042368D">
    <w:pPr>
      <w:widowControl w:val="0"/>
      <w:spacing w:line="307" w:lineRule="exact"/>
      <w:ind w:left="-42"/>
      <w:jc w:val="right"/>
      <w:rPr>
        <w:rFonts w:eastAsia="Arial"/>
        <w:b/>
        <w:bCs/>
        <w:spacing w:val="-4"/>
        <w:sz w:val="22"/>
        <w:szCs w:val="22"/>
      </w:rPr>
    </w:pPr>
    <w:r w:rsidRPr="00814AA5">
      <w:rPr>
        <w:rFonts w:eastAsia="Arial"/>
        <w:b/>
        <w:bCs/>
        <w:spacing w:val="-4"/>
        <w:sz w:val="22"/>
        <w:szCs w:val="22"/>
      </w:rPr>
      <w:t>Solvency II</w:t>
    </w:r>
    <w:r w:rsidRPr="00814AA5">
      <w:rPr>
        <w:rFonts w:eastAsia="Arial"/>
        <w:b/>
        <w:bCs/>
        <w:spacing w:val="-4"/>
        <w:sz w:val="22"/>
        <w:szCs w:val="22"/>
      </w:rPr>
      <w:br/>
      <w:t>03. Economical balance sheet</w:t>
    </w:r>
  </w:p>
  <w:p w14:paraId="2A6E7B1C" w14:textId="77777777" w:rsidR="000B1B25" w:rsidRDefault="000B1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B0F3" w14:textId="77777777" w:rsidR="00814AA5" w:rsidRDefault="0081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7EA"/>
    <w:multiLevelType w:val="hybridMultilevel"/>
    <w:tmpl w:val="F0AC9810"/>
    <w:lvl w:ilvl="0" w:tplc="2B4EB5BC">
      <w:start w:val="1"/>
      <w:numFmt w:val="bullet"/>
      <w:lvlText w:val="•"/>
      <w:lvlJc w:val="left"/>
      <w:pPr>
        <w:tabs>
          <w:tab w:val="num" w:pos="360"/>
        </w:tabs>
        <w:ind w:left="360" w:hanging="360"/>
      </w:pPr>
      <w:rPr>
        <w:rFonts w:ascii="Arial" w:hAnsi="Arial" w:hint="default"/>
      </w:rPr>
    </w:lvl>
    <w:lvl w:ilvl="1" w:tplc="99BEB516" w:tentative="1">
      <w:start w:val="1"/>
      <w:numFmt w:val="bullet"/>
      <w:lvlText w:val="•"/>
      <w:lvlJc w:val="left"/>
      <w:pPr>
        <w:tabs>
          <w:tab w:val="num" w:pos="1080"/>
        </w:tabs>
        <w:ind w:left="1080" w:hanging="360"/>
      </w:pPr>
      <w:rPr>
        <w:rFonts w:ascii="Arial" w:hAnsi="Arial" w:hint="default"/>
      </w:rPr>
    </w:lvl>
    <w:lvl w:ilvl="2" w:tplc="B1EAFA06" w:tentative="1">
      <w:start w:val="1"/>
      <w:numFmt w:val="bullet"/>
      <w:lvlText w:val="•"/>
      <w:lvlJc w:val="left"/>
      <w:pPr>
        <w:tabs>
          <w:tab w:val="num" w:pos="1800"/>
        </w:tabs>
        <w:ind w:left="1800" w:hanging="360"/>
      </w:pPr>
      <w:rPr>
        <w:rFonts w:ascii="Arial" w:hAnsi="Arial" w:hint="default"/>
      </w:rPr>
    </w:lvl>
    <w:lvl w:ilvl="3" w:tplc="673CBE32" w:tentative="1">
      <w:start w:val="1"/>
      <w:numFmt w:val="bullet"/>
      <w:lvlText w:val="•"/>
      <w:lvlJc w:val="left"/>
      <w:pPr>
        <w:tabs>
          <w:tab w:val="num" w:pos="2520"/>
        </w:tabs>
        <w:ind w:left="2520" w:hanging="360"/>
      </w:pPr>
      <w:rPr>
        <w:rFonts w:ascii="Arial" w:hAnsi="Arial" w:hint="default"/>
      </w:rPr>
    </w:lvl>
    <w:lvl w:ilvl="4" w:tplc="1DF6D886" w:tentative="1">
      <w:start w:val="1"/>
      <w:numFmt w:val="bullet"/>
      <w:lvlText w:val="•"/>
      <w:lvlJc w:val="left"/>
      <w:pPr>
        <w:tabs>
          <w:tab w:val="num" w:pos="3240"/>
        </w:tabs>
        <w:ind w:left="3240" w:hanging="360"/>
      </w:pPr>
      <w:rPr>
        <w:rFonts w:ascii="Arial" w:hAnsi="Arial" w:hint="default"/>
      </w:rPr>
    </w:lvl>
    <w:lvl w:ilvl="5" w:tplc="1FA8BCF4" w:tentative="1">
      <w:start w:val="1"/>
      <w:numFmt w:val="bullet"/>
      <w:lvlText w:val="•"/>
      <w:lvlJc w:val="left"/>
      <w:pPr>
        <w:tabs>
          <w:tab w:val="num" w:pos="3960"/>
        </w:tabs>
        <w:ind w:left="3960" w:hanging="360"/>
      </w:pPr>
      <w:rPr>
        <w:rFonts w:ascii="Arial" w:hAnsi="Arial" w:hint="default"/>
      </w:rPr>
    </w:lvl>
    <w:lvl w:ilvl="6" w:tplc="8CECCE58" w:tentative="1">
      <w:start w:val="1"/>
      <w:numFmt w:val="bullet"/>
      <w:lvlText w:val="•"/>
      <w:lvlJc w:val="left"/>
      <w:pPr>
        <w:tabs>
          <w:tab w:val="num" w:pos="4680"/>
        </w:tabs>
        <w:ind w:left="4680" w:hanging="360"/>
      </w:pPr>
      <w:rPr>
        <w:rFonts w:ascii="Arial" w:hAnsi="Arial" w:hint="default"/>
      </w:rPr>
    </w:lvl>
    <w:lvl w:ilvl="7" w:tplc="9D94AA8A" w:tentative="1">
      <w:start w:val="1"/>
      <w:numFmt w:val="bullet"/>
      <w:lvlText w:val="•"/>
      <w:lvlJc w:val="left"/>
      <w:pPr>
        <w:tabs>
          <w:tab w:val="num" w:pos="5400"/>
        </w:tabs>
        <w:ind w:left="5400" w:hanging="360"/>
      </w:pPr>
      <w:rPr>
        <w:rFonts w:ascii="Arial" w:hAnsi="Arial" w:hint="default"/>
      </w:rPr>
    </w:lvl>
    <w:lvl w:ilvl="8" w:tplc="15B2B1A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46CE041E"/>
    <w:multiLevelType w:val="singleLevel"/>
    <w:tmpl w:val="289067EE"/>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6D6C15EC"/>
    <w:multiLevelType w:val="hybridMultilevel"/>
    <w:tmpl w:val="493E4C6E"/>
    <w:lvl w:ilvl="0" w:tplc="0B3656D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3E85D02"/>
    <w:multiLevelType w:val="singleLevel"/>
    <w:tmpl w:val="74CAED86"/>
    <w:lvl w:ilvl="0">
      <w:start w:val="1"/>
      <w:numFmt w:val="bullet"/>
      <w:lvlText w:val=""/>
      <w:lvlJc w:val="left"/>
      <w:pPr>
        <w:tabs>
          <w:tab w:val="num" w:pos="340"/>
        </w:tabs>
        <w:ind w:left="340" w:hanging="340"/>
      </w:pPr>
      <w:rPr>
        <w:rFonts w:ascii="Symbol" w:hAnsi="Symbol" w:hint="default"/>
        <w:color w:val="auto"/>
        <w:sz w:val="22"/>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8D"/>
    <w:rsid w:val="00045E69"/>
    <w:rsid w:val="00065920"/>
    <w:rsid w:val="000B1B25"/>
    <w:rsid w:val="00155F66"/>
    <w:rsid w:val="001F55BE"/>
    <w:rsid w:val="001F6C57"/>
    <w:rsid w:val="002C1E59"/>
    <w:rsid w:val="003349AF"/>
    <w:rsid w:val="003529D0"/>
    <w:rsid w:val="003D38D8"/>
    <w:rsid w:val="003E3B96"/>
    <w:rsid w:val="0042368D"/>
    <w:rsid w:val="004241DA"/>
    <w:rsid w:val="00427E29"/>
    <w:rsid w:val="00475ABF"/>
    <w:rsid w:val="00497236"/>
    <w:rsid w:val="004A2231"/>
    <w:rsid w:val="0051291C"/>
    <w:rsid w:val="00672CC1"/>
    <w:rsid w:val="0067410A"/>
    <w:rsid w:val="00695C9C"/>
    <w:rsid w:val="006974AE"/>
    <w:rsid w:val="0069782F"/>
    <w:rsid w:val="006B3B02"/>
    <w:rsid w:val="006B4C0A"/>
    <w:rsid w:val="007E60E5"/>
    <w:rsid w:val="00801B87"/>
    <w:rsid w:val="00812675"/>
    <w:rsid w:val="00814AA5"/>
    <w:rsid w:val="009047EC"/>
    <w:rsid w:val="0093679D"/>
    <w:rsid w:val="00983C89"/>
    <w:rsid w:val="009D0088"/>
    <w:rsid w:val="00AA0F81"/>
    <w:rsid w:val="00AA51E5"/>
    <w:rsid w:val="00C32E4F"/>
    <w:rsid w:val="00C73DE2"/>
    <w:rsid w:val="00CB088C"/>
    <w:rsid w:val="00CF4E45"/>
    <w:rsid w:val="00D9380E"/>
    <w:rsid w:val="00DC2A94"/>
    <w:rsid w:val="00E173D1"/>
    <w:rsid w:val="00E542CA"/>
    <w:rsid w:val="00EA5C35"/>
    <w:rsid w:val="00F2073C"/>
    <w:rsid w:val="00F42F29"/>
    <w:rsid w:val="00F55AF9"/>
    <w:rsid w:val="00F66AF1"/>
    <w:rsid w:val="00F9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63EC98"/>
  <w15:chartTrackingRefBased/>
  <w15:docId w15:val="{6606466C-5938-4EA7-8458-9D271F86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rsid w:val="0042368D"/>
    <w:pPr>
      <w:tabs>
        <w:tab w:val="center" w:pos="4320"/>
        <w:tab w:val="right" w:pos="8640"/>
      </w:tabs>
    </w:pPr>
  </w:style>
  <w:style w:type="character" w:customStyle="1" w:styleId="HeaderChar">
    <w:name w:val="Header Char"/>
    <w:aliases w:val="hd Char"/>
    <w:basedOn w:val="DefaultParagraphFont"/>
    <w:link w:val="Header"/>
    <w:rsid w:val="0042368D"/>
    <w:rPr>
      <w:rFonts w:ascii="Times New Roman" w:eastAsia="Times New Roman" w:hAnsi="Times New Roman" w:cs="Times New Roman"/>
      <w:sz w:val="24"/>
      <w:szCs w:val="24"/>
    </w:rPr>
  </w:style>
  <w:style w:type="paragraph" w:styleId="BodyText3">
    <w:name w:val="Body Text 3"/>
    <w:basedOn w:val="Normal"/>
    <w:link w:val="BodyText3Char"/>
    <w:rsid w:val="0042368D"/>
    <w:rPr>
      <w:sz w:val="22"/>
    </w:rPr>
  </w:style>
  <w:style w:type="character" w:customStyle="1" w:styleId="BodyText3Char">
    <w:name w:val="Body Text 3 Char"/>
    <w:basedOn w:val="DefaultParagraphFont"/>
    <w:link w:val="BodyText3"/>
    <w:rsid w:val="0042368D"/>
    <w:rPr>
      <w:rFonts w:ascii="Times New Roman" w:eastAsia="Times New Roman" w:hAnsi="Times New Roman" w:cs="Times New Roman"/>
      <w:szCs w:val="24"/>
    </w:rPr>
  </w:style>
  <w:style w:type="character" w:customStyle="1" w:styleId="KAMreference">
    <w:name w:val="KAM reference"/>
    <w:basedOn w:val="DefaultParagraphFont"/>
    <w:rsid w:val="0042368D"/>
    <w:rPr>
      <w:color w:val="FF0000"/>
      <w:u w:val="double"/>
    </w:rPr>
  </w:style>
  <w:style w:type="paragraph" w:customStyle="1" w:styleId="BodyText1">
    <w:name w:val="Body_Text_1"/>
    <w:basedOn w:val="Normal"/>
    <w:link w:val="BodyText1Char"/>
    <w:rsid w:val="0042368D"/>
    <w:pPr>
      <w:spacing w:after="240"/>
    </w:pPr>
    <w:rPr>
      <w:sz w:val="22"/>
      <w:szCs w:val="22"/>
    </w:rPr>
  </w:style>
  <w:style w:type="character" w:customStyle="1" w:styleId="BodyText1Char">
    <w:name w:val="Body_Text_1 Char"/>
    <w:basedOn w:val="DefaultParagraphFont"/>
    <w:link w:val="BodyText1"/>
    <w:rsid w:val="0042368D"/>
    <w:rPr>
      <w:rFonts w:ascii="Times New Roman" w:eastAsia="Times New Roman" w:hAnsi="Times New Roman" w:cs="Times New Roman"/>
    </w:rPr>
  </w:style>
  <w:style w:type="paragraph" w:customStyle="1" w:styleId="Tabletext">
    <w:name w:val="Table text"/>
    <w:basedOn w:val="Normal"/>
    <w:link w:val="TabletextChar"/>
    <w:rsid w:val="0042368D"/>
    <w:pPr>
      <w:spacing w:before="120" w:after="120" w:line="260" w:lineRule="atLeast"/>
    </w:pPr>
    <w:rPr>
      <w:noProof/>
      <w:sz w:val="22"/>
      <w:szCs w:val="20"/>
    </w:rPr>
  </w:style>
  <w:style w:type="character" w:styleId="FootnoteReference">
    <w:name w:val="footnote reference"/>
    <w:basedOn w:val="DefaultParagraphFont"/>
    <w:semiHidden/>
    <w:rsid w:val="0042368D"/>
    <w:rPr>
      <w:vertAlign w:val="superscript"/>
    </w:rPr>
  </w:style>
  <w:style w:type="paragraph" w:styleId="FootnoteText">
    <w:name w:val="footnote text"/>
    <w:basedOn w:val="Normal"/>
    <w:link w:val="FootnoteTextChar"/>
    <w:semiHidden/>
    <w:rsid w:val="0042368D"/>
    <w:rPr>
      <w:sz w:val="20"/>
      <w:szCs w:val="20"/>
    </w:rPr>
  </w:style>
  <w:style w:type="character" w:customStyle="1" w:styleId="FootnoteTextChar">
    <w:name w:val="Footnote Text Char"/>
    <w:basedOn w:val="DefaultParagraphFont"/>
    <w:link w:val="FootnoteText"/>
    <w:semiHidden/>
    <w:rsid w:val="0042368D"/>
    <w:rPr>
      <w:rFonts w:ascii="Times New Roman" w:eastAsia="Times New Roman" w:hAnsi="Times New Roman" w:cs="Times New Roman"/>
      <w:sz w:val="20"/>
      <w:szCs w:val="20"/>
    </w:rPr>
  </w:style>
  <w:style w:type="paragraph" w:customStyle="1" w:styleId="Tableheading">
    <w:name w:val="Table heading"/>
    <w:basedOn w:val="Tabletext"/>
    <w:next w:val="Tabletext"/>
    <w:rsid w:val="0042368D"/>
    <w:pPr>
      <w:keepNext/>
      <w:spacing w:before="60" w:after="60"/>
    </w:pPr>
    <w:rPr>
      <w:b/>
    </w:rPr>
  </w:style>
  <w:style w:type="character" w:customStyle="1" w:styleId="TabletextChar">
    <w:name w:val="Table text Char"/>
    <w:basedOn w:val="DefaultParagraphFont"/>
    <w:link w:val="Tabletext"/>
    <w:rsid w:val="0042368D"/>
    <w:rPr>
      <w:rFonts w:ascii="Times New Roman" w:eastAsia="Times New Roman" w:hAnsi="Times New Roman" w:cs="Times New Roman"/>
      <w:noProof/>
      <w:szCs w:val="20"/>
    </w:rPr>
  </w:style>
  <w:style w:type="paragraph" w:styleId="ListParagraph">
    <w:name w:val="List Paragraph"/>
    <w:basedOn w:val="Normal"/>
    <w:uiPriority w:val="34"/>
    <w:qFormat/>
    <w:rsid w:val="0042368D"/>
    <w:pPr>
      <w:ind w:left="720"/>
      <w:contextualSpacing/>
    </w:pPr>
  </w:style>
  <w:style w:type="paragraph" w:customStyle="1" w:styleId="Default">
    <w:name w:val="Default"/>
    <w:rsid w:val="0042368D"/>
    <w:pPr>
      <w:autoSpaceDE w:val="0"/>
      <w:autoSpaceDN w:val="0"/>
      <w:adjustRightInd w:val="0"/>
      <w:spacing w:after="0" w:line="240" w:lineRule="auto"/>
    </w:pPr>
    <w:rPr>
      <w:rFonts w:ascii="Times New Roman" w:eastAsia="Times New Roman" w:hAnsi="Times New Roman" w:cs="Times New Roman"/>
      <w:color w:val="000000"/>
      <w:sz w:val="24"/>
      <w:szCs w:val="24"/>
      <w:lang w:val="nl-BE"/>
    </w:rPr>
  </w:style>
  <w:style w:type="paragraph" w:styleId="Footer">
    <w:name w:val="footer"/>
    <w:basedOn w:val="Normal"/>
    <w:link w:val="FooterChar"/>
    <w:uiPriority w:val="99"/>
    <w:unhideWhenUsed/>
    <w:rsid w:val="0042368D"/>
    <w:pPr>
      <w:tabs>
        <w:tab w:val="center" w:pos="4703"/>
        <w:tab w:val="right" w:pos="9406"/>
      </w:tabs>
    </w:pPr>
  </w:style>
  <w:style w:type="character" w:customStyle="1" w:styleId="FooterChar">
    <w:name w:val="Footer Char"/>
    <w:basedOn w:val="DefaultParagraphFont"/>
    <w:link w:val="Footer"/>
    <w:uiPriority w:val="99"/>
    <w:rsid w:val="004236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5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69"/>
    <w:rPr>
      <w:rFonts w:ascii="Segoe UI" w:eastAsia="Times New Roman" w:hAnsi="Segoe UI" w:cs="Segoe UI"/>
      <w:sz w:val="18"/>
      <w:szCs w:val="18"/>
    </w:rPr>
  </w:style>
  <w:style w:type="paragraph" w:styleId="Revision">
    <w:name w:val="Revision"/>
    <w:hidden/>
    <w:uiPriority w:val="99"/>
    <w:semiHidden/>
    <w:rsid w:val="009047E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1E173-17D9-4D12-8FD1-57D244E46461}"/>
</file>

<file path=customXml/itemProps2.xml><?xml version="1.0" encoding="utf-8"?>
<ds:datastoreItem xmlns:ds="http://schemas.openxmlformats.org/officeDocument/2006/customXml" ds:itemID="{D5013FEE-8428-4AA5-A12E-5D54986C1CF2}"/>
</file>

<file path=customXml/itemProps3.xml><?xml version="1.0" encoding="utf-8"?>
<ds:datastoreItem xmlns:ds="http://schemas.openxmlformats.org/officeDocument/2006/customXml" ds:itemID="{E83E6C79-4AAC-41F5-B125-96BC4BF68FEB}"/>
</file>

<file path=customXml/itemProps4.xml><?xml version="1.0" encoding="utf-8"?>
<ds:datastoreItem xmlns:ds="http://schemas.openxmlformats.org/officeDocument/2006/customXml" ds:itemID="{0B35CA5F-42F9-447E-93DB-91A9618CCB15}"/>
</file>

<file path=docProps/app.xml><?xml version="1.0" encoding="utf-8"?>
<Properties xmlns="http://schemas.openxmlformats.org/officeDocument/2006/extended-properties" xmlns:vt="http://schemas.openxmlformats.org/officeDocument/2006/docPropsVTypes">
  <Template>Normal.dotm</Template>
  <TotalTime>44</TotalTime>
  <Pages>9</Pages>
  <Words>2516</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Roelandt</dc:creator>
  <cp:keywords/>
  <dc:description/>
  <cp:lastModifiedBy>Louckx, Claude</cp:lastModifiedBy>
  <cp:revision>4</cp:revision>
  <dcterms:created xsi:type="dcterms:W3CDTF">2020-05-25T14:41:00Z</dcterms:created>
  <dcterms:modified xsi:type="dcterms:W3CDTF">2020-10-05T10:25:00Z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