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33" w:rsidRPr="00CD7A8C" w:rsidRDefault="00B41733" w:rsidP="00621FF9">
      <w:pPr>
        <w:jc w:val="both"/>
        <w:rPr>
          <w:b/>
          <w:szCs w:val="22"/>
          <w:lang w:val="nl-BE"/>
        </w:rPr>
      </w:pPr>
      <w:bookmarkStart w:id="0" w:name="_GoBack"/>
      <w:bookmarkEnd w:id="0"/>
      <w:r>
        <w:rPr>
          <w:b/>
          <w:szCs w:val="22"/>
          <w:lang w:val="nl-BE"/>
        </w:rPr>
        <w:t xml:space="preserve">VERSLAG VAN DE COMMISSARIS </w:t>
      </w:r>
      <w:r w:rsidR="007139AF">
        <w:rPr>
          <w:b/>
          <w:szCs w:val="22"/>
          <w:lang w:val="nl-BE"/>
        </w:rPr>
        <w:t>AAN DE V</w:t>
      </w:r>
      <w:r w:rsidR="00802EAA">
        <w:rPr>
          <w:b/>
          <w:szCs w:val="22"/>
          <w:lang w:val="nl-BE"/>
        </w:rPr>
        <w:t>ZW CANARA OVEREENKOMSTIG ARTIKEL 9, TWEEDE LID VAN HET COMPENSATIEREGLEMENT OVER DE AANGIFTE DOOR</w:t>
      </w:r>
      <w:r>
        <w:rPr>
          <w:b/>
          <w:szCs w:val="22"/>
          <w:lang w:val="nl-BE"/>
        </w:rPr>
        <w:t xml:space="preserve">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r w:rsidR="00802EAA">
        <w:rPr>
          <w:b/>
          <w:szCs w:val="22"/>
          <w:lang w:val="nl-BE"/>
        </w:rPr>
        <w:t>VAN</w:t>
      </w:r>
      <w:r>
        <w:rPr>
          <w:b/>
          <w:szCs w:val="22"/>
          <w:lang w:val="nl-BE"/>
        </w:rPr>
        <w:t xml:space="preserve"> HET INCASSO</w:t>
      </w:r>
      <w:r w:rsidR="00802EAA">
        <w:rPr>
          <w:b/>
          <w:szCs w:val="22"/>
          <w:lang w:val="nl-BE"/>
        </w:rPr>
        <w:t>MET BETREKKING TOT HET BOEKJAAR 201X</w:t>
      </w:r>
      <w:r>
        <w:rPr>
          <w:rStyle w:val="EndnoteReference"/>
          <w:szCs w:val="22"/>
          <w:lang w:val="nl-BE"/>
        </w:rPr>
        <w:endnoteReference w:id="1"/>
      </w:r>
    </w:p>
    <w:p w:rsidR="00B41733" w:rsidRDefault="00B41733" w:rsidP="00DF7845">
      <w:pPr>
        <w:jc w:val="center"/>
        <w:rPr>
          <w:b/>
          <w:szCs w:val="22"/>
          <w:lang w:val="nl-BE"/>
        </w:rPr>
      </w:pPr>
    </w:p>
    <w:p w:rsidR="00B41733" w:rsidRDefault="00B41733" w:rsidP="00DF7845">
      <w:pPr>
        <w:jc w:val="center"/>
        <w:rPr>
          <w:b/>
          <w:szCs w:val="22"/>
          <w:lang w:val="nl-BE"/>
        </w:rPr>
      </w:pPr>
    </w:p>
    <w:p w:rsidR="00B41733" w:rsidRDefault="00B41733" w:rsidP="00F05A7A">
      <w:pPr>
        <w:jc w:val="both"/>
        <w:rPr>
          <w:szCs w:val="22"/>
          <w:lang w:val="nl-BE"/>
        </w:rPr>
      </w:pPr>
    </w:p>
    <w:p w:rsidR="00B41733" w:rsidRPr="00DE4795" w:rsidRDefault="00B41733" w:rsidP="00F05A7A">
      <w:pPr>
        <w:jc w:val="both"/>
        <w:rPr>
          <w:b/>
          <w:szCs w:val="22"/>
          <w:lang w:val="nl-BE"/>
        </w:rPr>
      </w:pPr>
      <w:r>
        <w:rPr>
          <w:b/>
          <w:szCs w:val="22"/>
          <w:lang w:val="nl-BE"/>
        </w:rPr>
        <w:t>Opdracht</w:t>
      </w:r>
    </w:p>
    <w:p w:rsidR="00B41733" w:rsidRDefault="00B41733" w:rsidP="00F05A7A">
      <w:pPr>
        <w:jc w:val="both"/>
        <w:rPr>
          <w:szCs w:val="22"/>
          <w:lang w:val="nl-BE"/>
        </w:rPr>
      </w:pPr>
    </w:p>
    <w:p w:rsidR="00B41733" w:rsidRDefault="00B41733"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9, tweede lid</w:t>
      </w:r>
      <w:r w:rsidRPr="001F761E">
        <w:rPr>
          <w:szCs w:val="22"/>
          <w:lang w:val="nl"/>
        </w:rPr>
        <w:t xml:space="preserve"> van het</w:t>
      </w:r>
      <w:r>
        <w:rPr>
          <w:szCs w:val="22"/>
          <w:lang w:val="nl"/>
        </w:rPr>
        <w:t xml:space="preserve"> compensatiereglement</w:t>
      </w:r>
      <w:r w:rsidRPr="001F761E">
        <w:rPr>
          <w:szCs w:val="22"/>
          <w:lang w:val="nl"/>
        </w:rPr>
        <w:t xml:space="preserve"> </w:t>
      </w:r>
      <w:r>
        <w:rPr>
          <w:szCs w:val="22"/>
          <w:lang w:val="nl"/>
        </w:rPr>
        <w:t xml:space="preserve">van de vzw CANARA </w:t>
      </w:r>
      <w:r w:rsidRPr="001F761E">
        <w:rPr>
          <w:szCs w:val="22"/>
          <w:lang w:val="nl"/>
        </w:rPr>
        <w:t xml:space="preserve">wordt aan de commissaris </w:t>
      </w:r>
      <w:r>
        <w:rPr>
          <w:szCs w:val="22"/>
          <w:lang w:val="nl"/>
        </w:rPr>
        <w:t xml:space="preserve">van de aangesloten leden </w:t>
      </w:r>
      <w:r w:rsidRPr="001F761E">
        <w:rPr>
          <w:szCs w:val="22"/>
          <w:lang w:val="nl"/>
        </w:rPr>
        <w:t xml:space="preserve">opgedragen </w:t>
      </w:r>
      <w:r>
        <w:rPr>
          <w:szCs w:val="22"/>
          <w:lang w:val="nl"/>
        </w:rPr>
        <w:t>het totaalbedrag van de premies en bijkomende kosten, zonder commissie</w:t>
      </w:r>
      <w:r w:rsidRPr="003208E8">
        <w:rPr>
          <w:szCs w:val="22"/>
          <w:lang w:val="nl"/>
        </w:rPr>
        <w:t xml:space="preserve"> </w:t>
      </w:r>
      <w:r>
        <w:rPr>
          <w:szCs w:val="22"/>
          <w:lang w:val="nl"/>
        </w:rPr>
        <w:t xml:space="preserve">en acquisitiekosten, voor de waarborgen brand en aanverwante gevaren plus elektriciteit van de eenvoudige risico’s bedoeld in artikel </w:t>
      </w:r>
      <w:r w:rsidR="006E49BB">
        <w:rPr>
          <w:szCs w:val="22"/>
          <w:lang w:val="nl"/>
        </w:rPr>
        <w:t>121</w:t>
      </w:r>
      <w:r>
        <w:rPr>
          <w:szCs w:val="22"/>
          <w:lang w:val="nl"/>
        </w:rPr>
        <w:t xml:space="preserve">, § 2 van de wet van </w:t>
      </w:r>
      <w:r w:rsidR="006E49BB">
        <w:rPr>
          <w:szCs w:val="22"/>
          <w:lang w:val="nl"/>
        </w:rPr>
        <w:t>4 april 2014</w:t>
      </w:r>
      <w:r>
        <w:rPr>
          <w:szCs w:val="22"/>
          <w:lang w:val="nl"/>
        </w:rPr>
        <w:t xml:space="preserve"> </w:t>
      </w:r>
      <w:r w:rsidR="006E49BB">
        <w:rPr>
          <w:szCs w:val="22"/>
          <w:lang w:val="nl"/>
        </w:rPr>
        <w:t xml:space="preserve">betreffende de verzekeringen </w:t>
      </w:r>
      <w:r>
        <w:rPr>
          <w:szCs w:val="22"/>
          <w:lang w:val="nl"/>
        </w:rPr>
        <w:t xml:space="preserve">(het incasso) </w:t>
      </w:r>
      <w:r w:rsidRPr="003208E8">
        <w:rPr>
          <w:szCs w:val="22"/>
          <w:lang w:val="nl"/>
        </w:rPr>
        <w:t>voor echt te verklaren.</w:t>
      </w:r>
      <w:r w:rsidRPr="00FF2A85">
        <w:rPr>
          <w:szCs w:val="22"/>
          <w:lang w:val="nl-BE"/>
        </w:rPr>
        <w:t xml:space="preserve"> </w:t>
      </w:r>
    </w:p>
    <w:p w:rsidR="00B41733" w:rsidRPr="001F761E" w:rsidRDefault="00B41733" w:rsidP="001F761E">
      <w:pPr>
        <w:tabs>
          <w:tab w:val="left" w:pos="-720"/>
        </w:tabs>
        <w:spacing w:after="260" w:line="240" w:lineRule="auto"/>
        <w:jc w:val="both"/>
        <w:rPr>
          <w:szCs w:val="22"/>
          <w:lang w:val="nl"/>
        </w:rPr>
      </w:pPr>
      <w:proofErr w:type="gramStart"/>
      <w:r w:rsidRPr="001F761E">
        <w:rPr>
          <w:szCs w:val="22"/>
          <w:lang w:val="nl"/>
        </w:rPr>
        <w:t xml:space="preserve">Het </w:t>
      </w:r>
      <w:r>
        <w:rPr>
          <w:szCs w:val="22"/>
          <w:lang w:val="nl"/>
        </w:rPr>
        <w:t>opstellen van de in het aangifteformulier</w:t>
      </w:r>
      <w:r w:rsidRPr="00881174">
        <w:rPr>
          <w:szCs w:val="22"/>
          <w:lang w:val="nl"/>
        </w:rPr>
        <w:t xml:space="preserve"> </w:t>
      </w:r>
      <w:r>
        <w:rPr>
          <w:szCs w:val="22"/>
          <w:lang w:val="nl"/>
        </w:rPr>
        <w:t xml:space="preserve">te verstrekken gegevens </w:t>
      </w:r>
      <w:r w:rsidRPr="001F761E">
        <w:rPr>
          <w:szCs w:val="22"/>
          <w:lang w:val="nl"/>
        </w:rPr>
        <w:t>betreffende het</w:t>
      </w:r>
      <w:r>
        <w:rPr>
          <w:szCs w:val="22"/>
          <w:lang w:val="nl"/>
        </w:rPr>
        <w:t xml:space="preserve"> incasso</w:t>
      </w:r>
      <w:r w:rsidR="00802EAA">
        <w:rPr>
          <w:szCs w:val="22"/>
          <w:lang w:val="nl"/>
        </w:rPr>
        <w:t xml:space="preserve"> overeenkomstig het compensatiereglement</w:t>
      </w:r>
      <w:r>
        <w:rPr>
          <w:szCs w:val="22"/>
          <w:lang w:val="nl"/>
        </w:rPr>
        <w:t xml:space="preserve"> valt onder de verantwoordelijkheid van </w:t>
      </w:r>
      <w:r w:rsidR="00802EAA" w:rsidRPr="00802EAA">
        <w:rPr>
          <w:i/>
          <w:szCs w:val="22"/>
          <w:lang w:val="nl"/>
        </w:rPr>
        <w:t>(“</w:t>
      </w:r>
      <w:r w:rsidRPr="00802EAA">
        <w:rPr>
          <w:i/>
          <w:szCs w:val="22"/>
          <w:lang w:val="nl"/>
        </w:rPr>
        <w:t>de effectieve leiding</w:t>
      </w:r>
      <w:r w:rsidR="00802EAA" w:rsidRPr="00802EAA">
        <w:rPr>
          <w:i/>
          <w:szCs w:val="22"/>
          <w:lang w:val="nl"/>
        </w:rPr>
        <w:t>” of “het directiecomité”, naar gelang)</w:t>
      </w:r>
      <w:r w:rsidR="00802EAA">
        <w:rPr>
          <w:szCs w:val="22"/>
          <w:lang w:val="nl"/>
        </w:rPr>
        <w:t xml:space="preserve"> onder het toezicht van </w:t>
      </w:r>
      <w:r w:rsidR="006E49BB" w:rsidRPr="00FF3A1F">
        <w:rPr>
          <w:i/>
          <w:szCs w:val="22"/>
          <w:lang w:val="nl"/>
        </w:rPr>
        <w:t>(‘</w:t>
      </w:r>
      <w:r w:rsidR="00802EAA" w:rsidRPr="00FF3A1F">
        <w:rPr>
          <w:i/>
          <w:szCs w:val="22"/>
          <w:lang w:val="nl"/>
        </w:rPr>
        <w:t>het bestuursorgaan</w:t>
      </w:r>
      <w:r w:rsidR="006E49BB" w:rsidRPr="00FF3A1F">
        <w:rPr>
          <w:i/>
          <w:szCs w:val="22"/>
          <w:lang w:val="nl"/>
        </w:rPr>
        <w:t>” of “de wettelijke vertegenwoordiger, naar gelang)</w:t>
      </w:r>
      <w:r>
        <w:rPr>
          <w:szCs w:val="22"/>
          <w:lang w:val="nl"/>
        </w:rPr>
        <w:t xml:space="preserve"> van </w:t>
      </w:r>
      <w:r w:rsidRPr="006F3DCC">
        <w:rPr>
          <w:i/>
          <w:szCs w:val="22"/>
          <w:lang w:val="nl"/>
        </w:rPr>
        <w:t xml:space="preserve">(identificatie van de </w:t>
      </w:r>
      <w:r>
        <w:rPr>
          <w:i/>
          <w:szCs w:val="22"/>
          <w:lang w:val="nl"/>
        </w:rPr>
        <w:t>onderneming</w:t>
      </w:r>
      <w:r w:rsidRPr="006F3DCC">
        <w:rPr>
          <w:i/>
          <w:szCs w:val="22"/>
          <w:lang w:val="nl"/>
        </w:rPr>
        <w:t>)</w:t>
      </w:r>
      <w:r w:rsidR="00802EAA">
        <w:rPr>
          <w:i/>
          <w:szCs w:val="22"/>
          <w:lang w:val="nl"/>
        </w:rPr>
        <w:t xml:space="preserve"> </w:t>
      </w:r>
      <w:r w:rsidR="00802EAA" w:rsidRPr="00802EAA">
        <w:rPr>
          <w:szCs w:val="22"/>
          <w:lang w:val="nl"/>
        </w:rPr>
        <w:t xml:space="preserve">(de </w:t>
      </w:r>
      <w:proofErr w:type="gramEnd"/>
      <w:r w:rsidR="00802EAA" w:rsidRPr="00802EAA">
        <w:rPr>
          <w:szCs w:val="22"/>
          <w:lang w:val="nl"/>
        </w:rPr>
        <w:t>Instelling)</w:t>
      </w:r>
      <w:r>
        <w:rPr>
          <w:szCs w:val="22"/>
          <w:lang w:val="nl"/>
        </w:rPr>
        <w:t>.</w:t>
      </w:r>
      <w:r w:rsidRPr="001F761E">
        <w:rPr>
          <w:szCs w:val="22"/>
          <w:lang w:val="nl"/>
        </w:rPr>
        <w:t xml:space="preserve"> </w:t>
      </w:r>
    </w:p>
    <w:p w:rsidR="00B41733" w:rsidRDefault="00B41733"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r w:rsidR="00802EAA">
        <w:rPr>
          <w:szCs w:val="22"/>
          <w:lang w:val="nl"/>
        </w:rPr>
        <w:t>de Instelling</w:t>
      </w:r>
      <w:r>
        <w:rPr>
          <w:szCs w:val="22"/>
          <w:lang w:val="nl"/>
        </w:rPr>
        <w:t xml:space="preserve"> in het aangifteformulier verstrekte gegevens betreffende het incasso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B41733" w:rsidRPr="00C90D70" w:rsidRDefault="00B41733" w:rsidP="00C90D70">
      <w:pPr>
        <w:tabs>
          <w:tab w:val="left" w:pos="-720"/>
        </w:tabs>
        <w:spacing w:after="260" w:line="240" w:lineRule="auto"/>
        <w:jc w:val="both"/>
        <w:rPr>
          <w:szCs w:val="22"/>
          <w:lang w:val="nl"/>
        </w:rPr>
      </w:pPr>
      <w:r>
        <w:rPr>
          <w:szCs w:val="22"/>
          <w:lang w:val="nl-BE"/>
        </w:rPr>
        <w:t xml:space="preserve">Een kopie van het door </w:t>
      </w:r>
      <w:r w:rsidR="00802EAA" w:rsidRPr="00802EAA">
        <w:rPr>
          <w:i/>
          <w:szCs w:val="22"/>
          <w:lang w:val="nl-BE"/>
        </w:rPr>
        <w:t>(“</w:t>
      </w:r>
      <w:r w:rsidRPr="00802EAA">
        <w:rPr>
          <w:i/>
          <w:szCs w:val="22"/>
          <w:lang w:val="nl-BE"/>
        </w:rPr>
        <w:t>de effectieve leiding</w:t>
      </w:r>
      <w:r w:rsidR="00802EAA" w:rsidRPr="00802EAA">
        <w:rPr>
          <w:i/>
          <w:szCs w:val="22"/>
          <w:lang w:val="nl-BE"/>
        </w:rPr>
        <w:t>” of “het directiecomité”, naar gelang)</w:t>
      </w:r>
      <w:r>
        <w:rPr>
          <w:szCs w:val="22"/>
          <w:lang w:val="nl-BE"/>
        </w:rPr>
        <w:t xml:space="preserve"> opgestelde aangifteformulier betreffende het incasso werd bijgevoegd.</w:t>
      </w:r>
    </w:p>
    <w:p w:rsidR="00B41733" w:rsidRDefault="00B41733" w:rsidP="001638C0">
      <w:pPr>
        <w:ind w:right="-79"/>
        <w:jc w:val="both"/>
        <w:rPr>
          <w:szCs w:val="22"/>
          <w:lang w:val="nl-BE"/>
        </w:rPr>
      </w:pPr>
    </w:p>
    <w:p w:rsidR="00B41733" w:rsidRDefault="00B41733" w:rsidP="001638C0">
      <w:pPr>
        <w:ind w:right="-79"/>
        <w:jc w:val="both"/>
        <w:rPr>
          <w:b/>
          <w:szCs w:val="22"/>
          <w:lang w:val="nl-BE"/>
        </w:rPr>
      </w:pPr>
      <w:r>
        <w:rPr>
          <w:b/>
          <w:szCs w:val="22"/>
          <w:lang w:val="nl-BE"/>
        </w:rPr>
        <w:t>Uitgevoerde werkzaamheden</w:t>
      </w:r>
    </w:p>
    <w:p w:rsidR="00B41733" w:rsidRPr="00277BE2" w:rsidRDefault="00B41733" w:rsidP="001638C0">
      <w:pPr>
        <w:ind w:right="-79"/>
        <w:jc w:val="both"/>
        <w:rPr>
          <w:b/>
          <w:szCs w:val="22"/>
          <w:lang w:val="nl-BE"/>
        </w:rPr>
      </w:pPr>
    </w:p>
    <w:p w:rsidR="00B41733" w:rsidRPr="00136126" w:rsidRDefault="00B41733"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ndnoteReference"/>
          <w:i/>
          <w:szCs w:val="22"/>
          <w:lang w:val="nl-BE"/>
        </w:rPr>
        <w:endnoteReference w:id="2"/>
      </w:r>
    </w:p>
    <w:p w:rsidR="00B41733" w:rsidRPr="0032433E" w:rsidRDefault="00B41733" w:rsidP="00A06DB3">
      <w:pPr>
        <w:ind w:right="-79"/>
        <w:jc w:val="both"/>
        <w:rPr>
          <w:b/>
          <w:szCs w:val="22"/>
          <w:lang w:val="nl-BE"/>
        </w:rPr>
      </w:pPr>
    </w:p>
    <w:p w:rsidR="00B41733" w:rsidRPr="00136126" w:rsidRDefault="00B41733"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 xml:space="preserve">uitgevoerd, dat een </w:t>
      </w:r>
      <w:proofErr w:type="gramStart"/>
      <w:r>
        <w:rPr>
          <w:i/>
          <w:szCs w:val="22"/>
          <w:lang w:val="nl-BE"/>
        </w:rPr>
        <w:t>beperkte</w:t>
      </w:r>
      <w:r w:rsidRPr="00136126">
        <w:rPr>
          <w:i/>
          <w:szCs w:val="22"/>
          <w:lang w:val="nl-BE"/>
        </w:rPr>
        <w:t xml:space="preserve"> mate</w:t>
      </w:r>
      <w:proofErr w:type="gramEnd"/>
      <w:r w:rsidRPr="00136126">
        <w:rPr>
          <w:i/>
          <w:szCs w:val="22"/>
          <w:lang w:val="nl-BE"/>
        </w:rPr>
        <w:t xml:space="preserve"> van zekerheid wordt verkregen dat de </w:t>
      </w:r>
      <w:r>
        <w:rPr>
          <w:i/>
          <w:szCs w:val="22"/>
          <w:lang w:val="nl-BE"/>
        </w:rPr>
        <w:t xml:space="preserve">in het aangifteformulier verstrekte gegevens betreffende het incasso </w:t>
      </w:r>
      <w:r w:rsidRPr="00136126">
        <w:rPr>
          <w:i/>
          <w:szCs w:val="22"/>
          <w:lang w:val="nl-BE"/>
        </w:rPr>
        <w:t>geen afwijking</w:t>
      </w:r>
      <w:r>
        <w:rPr>
          <w:i/>
          <w:szCs w:val="22"/>
          <w:lang w:val="nl-BE"/>
        </w:rPr>
        <w:t>en van materieel belang bevatten.</w:t>
      </w:r>
      <w:r>
        <w:rPr>
          <w:i/>
          <w:iCs/>
          <w:szCs w:val="22"/>
          <w:lang w:val="nl-NL" w:eastAsia="nl-NL"/>
        </w:rPr>
        <w:t xml:space="preserve"> </w:t>
      </w:r>
    </w:p>
    <w:p w:rsidR="00B41733" w:rsidRDefault="00B41733" w:rsidP="00A06DB3">
      <w:pPr>
        <w:ind w:right="-79"/>
        <w:jc w:val="both"/>
        <w:rPr>
          <w:i/>
          <w:szCs w:val="22"/>
          <w:lang w:val="nl-BE"/>
        </w:rPr>
      </w:pPr>
    </w:p>
    <w:p w:rsidR="00B41733" w:rsidRDefault="00B41733" w:rsidP="00A06DB3">
      <w:pPr>
        <w:ind w:right="-79"/>
        <w:jc w:val="both"/>
        <w:rPr>
          <w:i/>
          <w:szCs w:val="22"/>
          <w:lang w:val="nl-BE"/>
        </w:rPr>
      </w:pPr>
      <w:r>
        <w:rPr>
          <w:i/>
          <w:szCs w:val="22"/>
          <w:lang w:val="nl-BE"/>
        </w:rPr>
        <w:t xml:space="preserve">Bij toepassing van ISAE 3000 </w:t>
      </w:r>
    </w:p>
    <w:p w:rsidR="00B41733" w:rsidRPr="00136126" w:rsidRDefault="00B41733" w:rsidP="00A06DB3">
      <w:pPr>
        <w:ind w:right="-79"/>
        <w:jc w:val="both"/>
        <w:rPr>
          <w:i/>
          <w:szCs w:val="22"/>
          <w:lang w:val="nl-BE"/>
        </w:rPr>
      </w:pPr>
    </w:p>
    <w:p w:rsidR="00B41733" w:rsidRPr="00136126" w:rsidRDefault="00B41733"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CD7A8C">
        <w:rPr>
          <w:i/>
          <w:szCs w:val="22"/>
          <w:lang w:val="nl-BE"/>
        </w:rPr>
        <w:t xml:space="preserve">Assurance engagements </w:t>
      </w:r>
      <w:proofErr w:type="spellStart"/>
      <w:r w:rsidRPr="00CD7A8C">
        <w:rPr>
          <w:i/>
          <w:szCs w:val="22"/>
          <w:lang w:val="nl-BE"/>
        </w:rPr>
        <w:t>other</w:t>
      </w:r>
      <w:proofErr w:type="spellEnd"/>
      <w:r w:rsidRPr="00CD7A8C">
        <w:rPr>
          <w:i/>
          <w:szCs w:val="22"/>
          <w:lang w:val="nl-BE"/>
        </w:rPr>
        <w:t xml:space="preserve"> </w:t>
      </w:r>
      <w:proofErr w:type="spellStart"/>
      <w:r w:rsidRPr="00CD7A8C">
        <w:rPr>
          <w:i/>
          <w:szCs w:val="22"/>
          <w:lang w:val="nl-BE"/>
        </w:rPr>
        <w:t>than</w:t>
      </w:r>
      <w:proofErr w:type="spellEnd"/>
      <w:r w:rsidRPr="00CD7A8C">
        <w:rPr>
          <w:i/>
          <w:szCs w:val="22"/>
          <w:lang w:val="nl-BE"/>
        </w:rPr>
        <w:t xml:space="preserve"> audits or reviews of </w:t>
      </w:r>
      <w:proofErr w:type="spellStart"/>
      <w:r w:rsidRPr="00CD7A8C">
        <w:rPr>
          <w:i/>
          <w:szCs w:val="22"/>
          <w:lang w:val="nl-BE"/>
        </w:rPr>
        <w:t>historical</w:t>
      </w:r>
      <w:proofErr w:type="spellEnd"/>
      <w:r w:rsidRPr="00CD7A8C">
        <w:rPr>
          <w:i/>
          <w:szCs w:val="22"/>
          <w:lang w:val="nl-BE"/>
        </w:rPr>
        <w:t xml:space="preserve">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proofErr w:type="gramStart"/>
      <w:r>
        <w:rPr>
          <w:i/>
          <w:szCs w:val="22"/>
          <w:lang w:val="nl-BE"/>
        </w:rPr>
        <w:t xml:space="preserve">beperkte </w:t>
      </w:r>
      <w:r w:rsidRPr="00136126">
        <w:rPr>
          <w:i/>
          <w:szCs w:val="22"/>
          <w:lang w:val="nl-BE"/>
        </w:rPr>
        <w:t>mate</w:t>
      </w:r>
      <w:proofErr w:type="gramEnd"/>
      <w:r w:rsidRPr="00136126">
        <w:rPr>
          <w:i/>
          <w:szCs w:val="22"/>
          <w:lang w:val="nl-BE"/>
        </w:rPr>
        <w:t xml:space="preserve"> van zekerheid wordt verkregen dat de</w:t>
      </w:r>
      <w:r>
        <w:rPr>
          <w:i/>
          <w:szCs w:val="22"/>
          <w:lang w:val="nl-BE"/>
        </w:rPr>
        <w:t xml:space="preserve"> in het aangifteformulier verstrekte gegevens betreffende het incasso </w:t>
      </w:r>
      <w:r w:rsidRPr="00136126">
        <w:rPr>
          <w:i/>
          <w:szCs w:val="22"/>
          <w:lang w:val="nl-BE"/>
        </w:rPr>
        <w:t>geen afwijking</w:t>
      </w:r>
      <w:r>
        <w:rPr>
          <w:i/>
          <w:szCs w:val="22"/>
          <w:lang w:val="nl-BE"/>
        </w:rPr>
        <w:t xml:space="preserve">en van materieel belang </w:t>
      </w:r>
      <w:proofErr w:type="spellStart"/>
      <w:r>
        <w:rPr>
          <w:i/>
          <w:szCs w:val="22"/>
          <w:lang w:val="nl-BE"/>
        </w:rPr>
        <w:t>beva</w:t>
      </w:r>
      <w:r>
        <w:rPr>
          <w:i/>
          <w:iCs/>
          <w:szCs w:val="22"/>
          <w:lang w:val="nl-NL" w:eastAsia="nl-NL"/>
        </w:rPr>
        <w:t>tten</w:t>
      </w:r>
      <w:proofErr w:type="spellEnd"/>
      <w:r>
        <w:rPr>
          <w:i/>
          <w:iCs/>
          <w:szCs w:val="22"/>
          <w:lang w:val="nl-NL" w:eastAsia="nl-NL"/>
        </w:rPr>
        <w:t>.</w:t>
      </w:r>
    </w:p>
    <w:p w:rsidR="00B41733" w:rsidRPr="00897972" w:rsidRDefault="00B41733" w:rsidP="001638C0">
      <w:pPr>
        <w:autoSpaceDE w:val="0"/>
        <w:autoSpaceDN w:val="0"/>
        <w:adjustRightInd w:val="0"/>
        <w:spacing w:line="240" w:lineRule="auto"/>
        <w:ind w:right="-79"/>
        <w:jc w:val="both"/>
        <w:rPr>
          <w:iCs/>
          <w:szCs w:val="22"/>
          <w:lang w:val="nl-NL" w:eastAsia="nl-NL"/>
        </w:rPr>
      </w:pP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ndnoteReference"/>
          <w:rFonts w:eastAsia="ScalaSans-Regular"/>
          <w:szCs w:val="22"/>
          <w:lang w:val="nl-NL" w:eastAsia="nl-NL"/>
        </w:rPr>
        <w:endnoteReference w:id="3"/>
      </w:r>
    </w:p>
    <w:p w:rsidR="00B41733" w:rsidRDefault="00B41733" w:rsidP="001638C0">
      <w:pPr>
        <w:autoSpaceDE w:val="0"/>
        <w:autoSpaceDN w:val="0"/>
        <w:adjustRightInd w:val="0"/>
        <w:spacing w:line="240" w:lineRule="auto"/>
        <w:ind w:right="-79"/>
        <w:jc w:val="both"/>
        <w:rPr>
          <w:rFonts w:eastAsia="ScalaSans-Regular"/>
          <w:szCs w:val="22"/>
          <w:lang w:val="nl-NL" w:eastAsia="nl-NL"/>
        </w:rPr>
      </w:pP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B41733" w:rsidRPr="00771996" w:rsidRDefault="00B41733" w:rsidP="001638C0">
      <w:pPr>
        <w:autoSpaceDE w:val="0"/>
        <w:autoSpaceDN w:val="0"/>
        <w:adjustRightInd w:val="0"/>
        <w:spacing w:line="240" w:lineRule="auto"/>
        <w:ind w:right="-79"/>
        <w:jc w:val="both"/>
        <w:rPr>
          <w:iCs/>
          <w:szCs w:val="22"/>
          <w:lang w:val="nl-NL" w:eastAsia="nl-NL"/>
        </w:rPr>
      </w:pPr>
    </w:p>
    <w:p w:rsidR="00B41733" w:rsidRPr="00897972" w:rsidRDefault="00B41733"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lastRenderedPageBreak/>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B41733" w:rsidRDefault="00B41733" w:rsidP="001638C0">
      <w:pPr>
        <w:ind w:right="-79"/>
        <w:jc w:val="both"/>
        <w:rPr>
          <w:b/>
          <w:szCs w:val="22"/>
          <w:lang w:val="nl-BE"/>
        </w:rPr>
      </w:pPr>
    </w:p>
    <w:p w:rsidR="00B41733" w:rsidRPr="001E1DAF" w:rsidRDefault="00B41733" w:rsidP="001638C0">
      <w:pPr>
        <w:ind w:right="-79"/>
        <w:jc w:val="both"/>
        <w:rPr>
          <w:szCs w:val="22"/>
          <w:lang w:val="nl-BE"/>
        </w:rPr>
      </w:pPr>
      <w:r>
        <w:rPr>
          <w:b/>
          <w:szCs w:val="22"/>
          <w:lang w:val="nl-BE"/>
        </w:rPr>
        <w:t xml:space="preserve">Conclusie </w:t>
      </w:r>
      <w:r>
        <w:rPr>
          <w:rStyle w:val="EndnoteReference"/>
          <w:b/>
          <w:szCs w:val="22"/>
          <w:lang w:val="nl-BE"/>
        </w:rPr>
        <w:endnoteReference w:id="4"/>
      </w:r>
    </w:p>
    <w:p w:rsidR="00B41733" w:rsidRDefault="00B41733" w:rsidP="001638C0">
      <w:pPr>
        <w:ind w:right="-79"/>
        <w:jc w:val="both"/>
        <w:rPr>
          <w:b/>
          <w:szCs w:val="22"/>
          <w:lang w:val="nl-BE"/>
        </w:rPr>
      </w:pPr>
    </w:p>
    <w:p w:rsidR="00B41733" w:rsidRPr="00124DA6" w:rsidRDefault="00B41733"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de door </w:t>
      </w:r>
      <w:r w:rsidR="00802EAA">
        <w:rPr>
          <w:szCs w:val="22"/>
          <w:lang w:val="nl-NL" w:eastAsia="nl-NL"/>
        </w:rPr>
        <w:t>de Instelling</w:t>
      </w:r>
      <w:r>
        <w:rPr>
          <w:szCs w:val="22"/>
          <w:lang w:val="nl-NL" w:eastAsia="nl-NL"/>
        </w:rPr>
        <w:t xml:space="preserve"> in het bijgevoegde aangifteformulier verstrekte gegevens betreffende het incasso</w:t>
      </w:r>
      <w:r w:rsidR="006E49BB">
        <w:rPr>
          <w:szCs w:val="22"/>
          <w:lang w:val="nl-NL" w:eastAsia="nl-NL"/>
        </w:rPr>
        <w:t xml:space="preserve"> voor het boekjaar 201X</w:t>
      </w:r>
      <w:r>
        <w:rPr>
          <w:szCs w:val="22"/>
          <w:lang w:val="nl-NL" w:eastAsia="nl-NL"/>
        </w:rPr>
        <w:t>.</w:t>
      </w:r>
      <w:r w:rsidRPr="004D2EA9">
        <w:rPr>
          <w:szCs w:val="22"/>
          <w:lang w:val="nl-NL" w:eastAsia="nl-NL"/>
        </w:rPr>
        <w:t xml:space="preserve"> </w:t>
      </w:r>
    </w:p>
    <w:p w:rsidR="00B41733" w:rsidRDefault="00B41733" w:rsidP="001638C0">
      <w:pPr>
        <w:ind w:right="-79"/>
        <w:jc w:val="both"/>
        <w:rPr>
          <w:szCs w:val="22"/>
          <w:lang w:val="nl-BE"/>
        </w:rPr>
      </w:pPr>
    </w:p>
    <w:p w:rsidR="00B41733" w:rsidRDefault="00B41733" w:rsidP="001638C0">
      <w:pPr>
        <w:ind w:right="-79"/>
        <w:jc w:val="both"/>
        <w:rPr>
          <w:szCs w:val="22"/>
          <w:lang w:val="nl-BE"/>
        </w:rPr>
      </w:pPr>
    </w:p>
    <w:p w:rsidR="00B41733" w:rsidRPr="00FB52BE" w:rsidRDefault="00B41733" w:rsidP="00FB52BE">
      <w:pPr>
        <w:ind w:right="-79"/>
        <w:rPr>
          <w:b/>
          <w:szCs w:val="22"/>
          <w:lang w:val="nl-BE"/>
        </w:rPr>
      </w:pPr>
      <w:r w:rsidRPr="000A67D8">
        <w:rPr>
          <w:b/>
          <w:szCs w:val="22"/>
          <w:lang w:val="nl-BE"/>
        </w:rPr>
        <w:t>Verspreiding van het verslag</w:t>
      </w:r>
    </w:p>
    <w:p w:rsidR="00B41733" w:rsidRDefault="00B41733" w:rsidP="001638C0">
      <w:pPr>
        <w:ind w:right="-79"/>
        <w:jc w:val="both"/>
        <w:rPr>
          <w:szCs w:val="22"/>
          <w:lang w:val="nl-BE"/>
        </w:rPr>
      </w:pPr>
    </w:p>
    <w:p w:rsidR="00B41733" w:rsidRPr="00D7335A" w:rsidRDefault="00B41733"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802EAA" w:rsidRPr="00802EAA">
        <w:rPr>
          <w:i/>
          <w:szCs w:val="22"/>
          <w:lang w:val="nl-BE"/>
        </w:rPr>
        <w:t>(“</w:t>
      </w:r>
      <w:r w:rsidRPr="00802EAA">
        <w:rPr>
          <w:i/>
          <w:szCs w:val="22"/>
          <w:lang w:val="nl-BE"/>
        </w:rPr>
        <w:t>de effectieve leiding</w:t>
      </w:r>
      <w:r w:rsidR="00802EAA" w:rsidRPr="00802EAA">
        <w:rPr>
          <w:i/>
          <w:szCs w:val="22"/>
          <w:lang w:val="nl-BE"/>
        </w:rPr>
        <w:t>” of “het directiecomité”, naar gelang)</w:t>
      </w:r>
      <w:r>
        <w:rPr>
          <w:szCs w:val="22"/>
          <w:lang w:val="nl-BE"/>
        </w:rPr>
        <w:t xml:space="preserve"> van </w:t>
      </w:r>
      <w:r w:rsidR="00802EAA">
        <w:rPr>
          <w:szCs w:val="22"/>
          <w:lang w:val="nl-BE"/>
        </w:rPr>
        <w:t>de Instelling</w:t>
      </w:r>
      <w:r>
        <w:rPr>
          <w:szCs w:val="22"/>
          <w:lang w:val="nl-BE"/>
        </w:rPr>
        <w:t xml:space="preserve"> en mag enkel worden gebruikt ten behoeve van de vzw CANARA</w:t>
      </w:r>
      <w:r w:rsidRPr="00A82046">
        <w:rPr>
          <w:szCs w:val="22"/>
          <w:lang w:val="nl-BE"/>
        </w:rPr>
        <w:t xml:space="preserve"> </w:t>
      </w:r>
      <w:r>
        <w:rPr>
          <w:szCs w:val="22"/>
          <w:lang w:val="nl-BE"/>
        </w:rPr>
        <w:t xml:space="preserve">in het kader van de in het compensatiereglement voorziene voor echt verklaring door de </w:t>
      </w:r>
      <w:r w:rsidR="006E49BB" w:rsidRPr="00FF3A1F">
        <w:rPr>
          <w:i/>
          <w:szCs w:val="22"/>
          <w:lang w:val="nl-BE"/>
        </w:rPr>
        <w:t>“</w:t>
      </w:r>
      <w:r w:rsidRPr="00FF3A1F">
        <w:rPr>
          <w:i/>
          <w:szCs w:val="22"/>
          <w:lang w:val="nl-BE"/>
        </w:rPr>
        <w:t>commissaris</w:t>
      </w:r>
      <w:r w:rsidR="006E49BB" w:rsidRPr="00FF3A1F">
        <w:rPr>
          <w:i/>
          <w:szCs w:val="22"/>
          <w:lang w:val="nl-BE"/>
        </w:rPr>
        <w:t>”</w:t>
      </w:r>
      <w:r w:rsidRPr="00FF3A1F">
        <w:rPr>
          <w:i/>
          <w:szCs w:val="22"/>
          <w:lang w:val="nl-BE"/>
        </w:rPr>
        <w:t xml:space="preserve"> </w:t>
      </w:r>
      <w:r w:rsidR="006E49BB" w:rsidRPr="00FF3A1F">
        <w:rPr>
          <w:i/>
          <w:szCs w:val="22"/>
          <w:lang w:val="nl-BE"/>
        </w:rPr>
        <w:t>of “bedrijfsrevisor”, naar gelang</w:t>
      </w:r>
      <w:r w:rsidR="006E49BB">
        <w:rPr>
          <w:szCs w:val="22"/>
          <w:lang w:val="nl-BE"/>
        </w:rPr>
        <w:t xml:space="preserve"> </w:t>
      </w:r>
      <w:r>
        <w:rPr>
          <w:szCs w:val="22"/>
          <w:lang w:val="nl-BE"/>
        </w:rPr>
        <w:t>van de in het aangifteformulier verstrekte gegevens betreffende het incasso.</w:t>
      </w:r>
      <w:r w:rsidRPr="00A82046">
        <w:rPr>
          <w:szCs w:val="22"/>
          <w:lang w:val="nl-BE"/>
        </w:rPr>
        <w:t xml:space="preserve"> </w:t>
      </w:r>
      <w:r>
        <w:rPr>
          <w:szCs w:val="22"/>
          <w:lang w:val="nl-BE"/>
        </w:rPr>
        <w:t>Wij wijzen erop dat deze rapportage niet (geheel of gedeeltelijk) aan andere derden mag worden verspreid zonder onze uitdrukkelijke voorafgaande toestemming</w:t>
      </w:r>
      <w:r w:rsidRPr="001F761E">
        <w:rPr>
          <w:szCs w:val="22"/>
          <w:lang w:val="nl"/>
        </w:rPr>
        <w:t>.</w:t>
      </w:r>
    </w:p>
    <w:p w:rsidR="00B41733" w:rsidRDefault="00B41733" w:rsidP="001638C0">
      <w:pPr>
        <w:ind w:right="-79"/>
        <w:jc w:val="both"/>
        <w:rPr>
          <w:szCs w:val="22"/>
          <w:lang w:val="nl-BE"/>
        </w:rPr>
      </w:pPr>
    </w:p>
    <w:p w:rsidR="00B41733" w:rsidRDefault="00B41733" w:rsidP="001638C0">
      <w:pPr>
        <w:ind w:right="-79"/>
        <w:jc w:val="both"/>
        <w:rPr>
          <w:szCs w:val="22"/>
          <w:lang w:val="nl-BE"/>
        </w:rPr>
      </w:pPr>
    </w:p>
    <w:p w:rsidR="00B41733" w:rsidRPr="00C40ACC" w:rsidRDefault="00B41733" w:rsidP="001638C0">
      <w:pPr>
        <w:ind w:right="-79"/>
        <w:jc w:val="both"/>
        <w:rPr>
          <w:i/>
          <w:szCs w:val="22"/>
          <w:lang w:val="nl-BE"/>
        </w:rPr>
      </w:pPr>
      <w:r w:rsidRPr="00C40ACC">
        <w:rPr>
          <w:i/>
          <w:szCs w:val="22"/>
          <w:lang w:val="nl-BE"/>
        </w:rPr>
        <w:t>XXX</w:t>
      </w:r>
    </w:p>
    <w:p w:rsidR="00B41733" w:rsidRPr="00C40ACC" w:rsidRDefault="00B41733" w:rsidP="001638C0">
      <w:pPr>
        <w:ind w:right="-79"/>
        <w:jc w:val="both"/>
        <w:rPr>
          <w:i/>
          <w:szCs w:val="22"/>
          <w:lang w:val="nl-BE"/>
        </w:rPr>
      </w:pPr>
      <w:r w:rsidRPr="00C40ACC">
        <w:rPr>
          <w:i/>
          <w:szCs w:val="22"/>
          <w:lang w:val="nl-BE"/>
        </w:rPr>
        <w:t>Commissaris</w:t>
      </w:r>
    </w:p>
    <w:p w:rsidR="00B41733" w:rsidRPr="00C40ACC" w:rsidRDefault="00B41733" w:rsidP="001638C0">
      <w:pPr>
        <w:ind w:right="-79"/>
        <w:jc w:val="both"/>
        <w:rPr>
          <w:i/>
          <w:szCs w:val="22"/>
          <w:lang w:val="nl-BE"/>
        </w:rPr>
      </w:pPr>
      <w:r w:rsidRPr="00C40ACC">
        <w:rPr>
          <w:i/>
          <w:szCs w:val="22"/>
          <w:lang w:val="nl-BE"/>
        </w:rPr>
        <w:t>Vertegenwoordigd door</w:t>
      </w: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r w:rsidRPr="00C40ACC">
        <w:rPr>
          <w:i/>
          <w:szCs w:val="22"/>
          <w:lang w:val="nl-BE"/>
        </w:rPr>
        <w:t>YYY</w:t>
      </w:r>
    </w:p>
    <w:p w:rsidR="00B41733" w:rsidRPr="00C40ACC" w:rsidRDefault="00B41733" w:rsidP="001638C0">
      <w:pPr>
        <w:ind w:right="-79"/>
        <w:jc w:val="both"/>
        <w:rPr>
          <w:i/>
          <w:szCs w:val="22"/>
          <w:lang w:val="nl-BE"/>
        </w:rPr>
      </w:pPr>
      <w:r w:rsidRPr="00C40ACC">
        <w:rPr>
          <w:i/>
          <w:szCs w:val="22"/>
          <w:lang w:val="nl-BE"/>
        </w:rPr>
        <w:t>Bedrijfsrevisor</w:t>
      </w: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Default="00B41733" w:rsidP="001638C0">
      <w:pPr>
        <w:ind w:right="-79"/>
        <w:jc w:val="both"/>
        <w:rPr>
          <w:i/>
          <w:szCs w:val="22"/>
          <w:lang w:val="nl-BE"/>
        </w:rPr>
      </w:pPr>
      <w:r w:rsidRPr="00C40ACC">
        <w:rPr>
          <w:i/>
          <w:szCs w:val="22"/>
          <w:lang w:val="nl-BE"/>
        </w:rPr>
        <w:t>Plaats, datum</w:t>
      </w:r>
    </w:p>
    <w:p w:rsidR="00B41733" w:rsidRDefault="00B41733" w:rsidP="001638C0">
      <w:pPr>
        <w:ind w:right="-79"/>
        <w:jc w:val="both"/>
        <w:rPr>
          <w:i/>
          <w:szCs w:val="22"/>
          <w:lang w:val="nl-BE"/>
        </w:rPr>
      </w:pPr>
    </w:p>
    <w:p w:rsidR="00B41733" w:rsidRPr="004D6389" w:rsidRDefault="00B41733"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B41733"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55" w:rsidRDefault="00FA0255">
      <w:r>
        <w:separator/>
      </w:r>
    </w:p>
  </w:endnote>
  <w:endnote w:type="continuationSeparator" w:id="0">
    <w:p w:rsidR="00FA0255" w:rsidRDefault="00FA0255">
      <w:r>
        <w:continuationSeparator/>
      </w:r>
    </w:p>
  </w:endnote>
  <w:endnote w:id="1">
    <w:p w:rsidR="00B41733" w:rsidRDefault="00B41733" w:rsidP="002C31A3">
      <w:pPr>
        <w:pStyle w:val="EndnoteText"/>
        <w:spacing w:line="240" w:lineRule="auto"/>
        <w:rPr>
          <w:lang w:val="nl-BE"/>
        </w:rPr>
      </w:pPr>
      <w:r w:rsidRPr="00FF2A85">
        <w:rPr>
          <w:rStyle w:val="EndnoteReference"/>
        </w:rPr>
        <w:endnoteRef/>
      </w:r>
      <w:r w:rsidRPr="00350AB8">
        <w:rPr>
          <w:lang w:val="nl-NL"/>
        </w:rPr>
        <w:t xml:space="preserve"> </w:t>
      </w:r>
      <w:r w:rsidRPr="00FF2A85">
        <w:rPr>
          <w:lang w:val="nl-BE"/>
        </w:rPr>
        <w:t>Dit verslag werd enkel bij wijze van voorbeeld opgesteld.</w:t>
      </w:r>
    </w:p>
    <w:p w:rsidR="00B41733" w:rsidRPr="00802EAA" w:rsidRDefault="00B41733" w:rsidP="002C31A3">
      <w:pPr>
        <w:pStyle w:val="EndnoteText"/>
        <w:spacing w:line="240" w:lineRule="auto"/>
        <w:rPr>
          <w:lang w:val="nl-BE"/>
        </w:rPr>
      </w:pPr>
    </w:p>
  </w:endnote>
  <w:endnote w:id="2">
    <w:p w:rsidR="00B41733" w:rsidRDefault="00B41733" w:rsidP="002C31A3">
      <w:pPr>
        <w:pStyle w:val="EndnoteText"/>
        <w:spacing w:line="240" w:lineRule="auto"/>
        <w:jc w:val="both"/>
        <w:rPr>
          <w:lang w:val="nl-BE"/>
        </w:rPr>
      </w:pPr>
      <w:r>
        <w:rPr>
          <w:rStyle w:val="EndnoteReference"/>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het door de onderneming gerapporteerde incasso </w:t>
      </w:r>
      <w:r w:rsidRPr="00FF2A85">
        <w:rPr>
          <w:lang w:val="nl-BE"/>
        </w:rPr>
        <w:t xml:space="preserve">worden de leden van het </w:t>
      </w:r>
      <w:r w:rsidR="00316CCD">
        <w:rPr>
          <w:lang w:val="nl-BE"/>
        </w:rPr>
        <w:t>IREFI</w:t>
      </w:r>
      <w:r w:rsidR="00316CCD" w:rsidRPr="00FF2A85">
        <w:rPr>
          <w:lang w:val="nl-BE"/>
        </w:rPr>
        <w:t xml:space="preserve"> </w:t>
      </w:r>
      <w:r w:rsidRPr="00FF2A85">
        <w:rPr>
          <w:lang w:val="nl-BE"/>
        </w:rPr>
        <w:t>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w:t>
      </w:r>
      <w:proofErr w:type="spellStart"/>
      <w:r w:rsidRPr="00FF2A85">
        <w:rPr>
          <w:lang w:val="nl-BE"/>
        </w:rPr>
        <w:t>assurance</w:t>
      </w:r>
      <w:proofErr w:type="spellEnd"/>
      <w:r w:rsidRPr="00FF2A85">
        <w:rPr>
          <w:lang w:val="nl-BE"/>
        </w:rPr>
        <w:t>-rapport in overeenstemming zijn met</w:t>
      </w:r>
      <w:r>
        <w:rPr>
          <w:lang w:val="nl-BE"/>
        </w:rPr>
        <w:t xml:space="preserve"> </w:t>
      </w:r>
      <w:r w:rsidRPr="00350AB8">
        <w:rPr>
          <w:lang w:val="nl-NL"/>
        </w:rPr>
        <w:t>ISAE 3000</w:t>
      </w:r>
      <w:r w:rsidRPr="00FF2A85">
        <w:rPr>
          <w:lang w:val="nl-BE"/>
        </w:rPr>
        <w:t>.</w:t>
      </w:r>
    </w:p>
    <w:p w:rsidR="00B41733" w:rsidRPr="00802EAA" w:rsidRDefault="00B41733" w:rsidP="002C31A3">
      <w:pPr>
        <w:pStyle w:val="EndnoteText"/>
        <w:spacing w:line="240" w:lineRule="auto"/>
        <w:jc w:val="both"/>
        <w:rPr>
          <w:lang w:val="nl-BE"/>
        </w:rPr>
      </w:pPr>
    </w:p>
  </w:endnote>
  <w:endnote w:id="3">
    <w:p w:rsidR="00B41733" w:rsidRDefault="00B41733"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NL"/>
        </w:rPr>
        <w:t xml:space="preserve">Het </w:t>
      </w:r>
      <w:proofErr w:type="spellStart"/>
      <w:r w:rsidRPr="00FF2A85">
        <w:rPr>
          <w:lang w:val="nl-NL"/>
        </w:rPr>
        <w:t>oplijsten</w:t>
      </w:r>
      <w:proofErr w:type="spellEnd"/>
      <w:r w:rsidRPr="00FF2A85">
        <w:rPr>
          <w:lang w:val="nl-NL"/>
        </w:rPr>
        <w:t xml:space="preserve"> van de uitgevoerde werkzaamheden is wenselijk maar </w:t>
      </w:r>
      <w:r w:rsidRPr="00FF2A85">
        <w:rPr>
          <w:lang w:val="nl-BE"/>
        </w:rPr>
        <w:t>optioneel. De werkzaamheden kunnen bij wijze van voorbeeld volgende stappen inhouden:</w:t>
      </w:r>
    </w:p>
    <w:p w:rsidR="00B41733" w:rsidRPr="00FF2A85" w:rsidRDefault="00B41733" w:rsidP="00FF2A85">
      <w:pPr>
        <w:pStyle w:val="EndnoteText"/>
        <w:spacing w:line="240" w:lineRule="auto"/>
        <w:jc w:val="both"/>
        <w:rPr>
          <w:lang w:val="nl-BE"/>
        </w:rPr>
      </w:pPr>
    </w:p>
    <w:p w:rsidR="00B41733" w:rsidRDefault="00B41733" w:rsidP="00EF52FB">
      <w:pPr>
        <w:pStyle w:val="EndnoteText"/>
        <w:numPr>
          <w:ilvl w:val="0"/>
          <w:numId w:val="9"/>
        </w:numPr>
        <w:tabs>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 xml:space="preserve">het </w:t>
      </w:r>
      <w:r>
        <w:rPr>
          <w:lang w:val="nl"/>
        </w:rPr>
        <w:t xml:space="preserve">incasso </w:t>
      </w:r>
      <w:r w:rsidRPr="00FF2A85">
        <w:rPr>
          <w:lang w:val="nl-NL"/>
        </w:rPr>
        <w:t xml:space="preserve">met inbegrip van de interne controlemaatregelen die een redelijke mate van zekerheid dienen te verschaffen over de betrouwbaarheid van </w:t>
      </w:r>
      <w:r>
        <w:rPr>
          <w:lang w:val="nl-NL"/>
        </w:rPr>
        <w:t>het incasso</w:t>
      </w:r>
      <w:r w:rsidRPr="00FF2A85">
        <w:rPr>
          <w:lang w:val="nl-NL"/>
        </w:rPr>
        <w:t>, alsook de documentatie waarop deze beschrijving is gesteund;</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B41733" w:rsidRDefault="00B41733" w:rsidP="00EF52FB">
      <w:pPr>
        <w:pStyle w:val="EndnoteText"/>
        <w:numPr>
          <w:ilvl w:val="0"/>
          <w:numId w:val="9"/>
        </w:numPr>
        <w:tabs>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met betrekking tot de opstelling van de</w:t>
      </w:r>
      <w:r>
        <w:rPr>
          <w:lang w:val="nl-NL"/>
        </w:rPr>
        <w:t xml:space="preserve"> aangifte</w:t>
      </w:r>
      <w:r w:rsidRPr="00FF2A85">
        <w:rPr>
          <w:lang w:val="nl-NL"/>
        </w:rPr>
        <w:t>;</w:t>
      </w:r>
    </w:p>
    <w:p w:rsidR="00B41733" w:rsidRDefault="00B41733" w:rsidP="00EF52FB">
      <w:pPr>
        <w:pStyle w:val="EndnoteText"/>
        <w:numPr>
          <w:ilvl w:val="0"/>
          <w:numId w:val="9"/>
        </w:numPr>
        <w:tabs>
          <w:tab w:val="num" w:pos="360"/>
        </w:tabs>
        <w:spacing w:line="240" w:lineRule="auto"/>
        <w:ind w:left="360" w:right="41"/>
        <w:jc w:val="both"/>
        <w:rPr>
          <w:lang w:val="nl-NL"/>
        </w:rPr>
      </w:pPr>
      <w:r w:rsidRPr="00C9630C">
        <w:rPr>
          <w:lang w:val="nl-NL"/>
        </w:rPr>
        <w:t xml:space="preserve">nazicht of het incasso gedefinieerd werd overeenkomstig de bepalingen van artikel 9 van het compensatiereglement; </w:t>
      </w:r>
    </w:p>
    <w:p w:rsidR="00B41733" w:rsidRDefault="00B41733" w:rsidP="00EF52FB">
      <w:pPr>
        <w:pStyle w:val="EndnoteText"/>
        <w:numPr>
          <w:ilvl w:val="0"/>
          <w:numId w:val="9"/>
        </w:numPr>
        <w:tabs>
          <w:tab w:val="num" w:pos="360"/>
        </w:tabs>
        <w:spacing w:line="240" w:lineRule="auto"/>
        <w:ind w:left="360" w:right="41"/>
        <w:jc w:val="both"/>
        <w:rPr>
          <w:lang w:val="nl-NL"/>
        </w:rPr>
      </w:pPr>
      <w:r w:rsidRPr="00FF2A85">
        <w:rPr>
          <w:lang w:val="nl-NL"/>
        </w:rPr>
        <w:t xml:space="preserve">validatie van de programma’s en </w:t>
      </w:r>
      <w:proofErr w:type="spellStart"/>
      <w:r w:rsidRPr="00CD7A8C">
        <w:rPr>
          <w:lang w:val="nl-NL"/>
        </w:rPr>
        <w:t>queries</w:t>
      </w:r>
      <w:proofErr w:type="spellEnd"/>
      <w:r w:rsidRPr="00FF2A85">
        <w:rPr>
          <w:lang w:val="nl-NL"/>
        </w:rPr>
        <w:t xml:space="preserve"> gebruikt voor de opmaak van de inventarissen op basis waarvan de aangifte werd opgemaakt;</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aansluiting van het</w:t>
      </w:r>
      <w:r>
        <w:rPr>
          <w:sz w:val="20"/>
          <w:lang w:val="nl"/>
        </w:rPr>
        <w:t xml:space="preserve"> </w:t>
      </w:r>
      <w:r w:rsidRPr="00FF2A85">
        <w:rPr>
          <w:sz w:val="20"/>
          <w:lang w:val="nl"/>
        </w:rPr>
        <w:t>gerapporteerde</w:t>
      </w:r>
      <w:r>
        <w:rPr>
          <w:sz w:val="20"/>
          <w:lang w:val="nl"/>
        </w:rPr>
        <w:t xml:space="preserve"> incasso</w:t>
      </w:r>
      <w:r w:rsidRPr="00FF2A85">
        <w:rPr>
          <w:sz w:val="20"/>
          <w:lang w:val="nl"/>
        </w:rPr>
        <w:t xml:space="preserve"> met de inventarissen op basis waarvan de aangifte werd opgemaakt;</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Pr>
          <w:sz w:val="20"/>
          <w:lang w:val="nl"/>
        </w:rPr>
        <w:t>aansluiting van het incasso met de statistieken van de rechtstreekse verzekeringsverrichtingen Niet-leven in België, alsook met de door ons gecontroleerde jaarrekening;</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Pr>
          <w:sz w:val="20"/>
          <w:lang w:val="nl"/>
        </w:rPr>
        <w:t>controle op steekproefbasis van de bedragen opgenomen in de inventarissen/statistieken;</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aangifte</w:t>
      </w:r>
      <w:r w:rsidRPr="00FF2A85">
        <w:rPr>
          <w:sz w:val="20"/>
          <w:lang w:val="nl"/>
        </w:rPr>
        <w:t xml:space="preserve"> door middel van vergelijking met de aangiften van vorige jaren</w:t>
      </w:r>
      <w:r>
        <w:rPr>
          <w:sz w:val="20"/>
          <w:lang w:val="nl"/>
        </w:rPr>
        <w:t>;</w:t>
      </w:r>
    </w:p>
    <w:p w:rsidR="00B41733" w:rsidRDefault="00B41733" w:rsidP="00EF52FB">
      <w:pPr>
        <w:pStyle w:val="EndnoteText"/>
        <w:numPr>
          <w:ilvl w:val="0"/>
          <w:numId w:val="9"/>
        </w:numPr>
        <w:tabs>
          <w:tab w:val="num" w:pos="360"/>
        </w:tabs>
        <w:spacing w:line="240" w:lineRule="auto"/>
        <w:ind w:left="360" w:right="41"/>
        <w:jc w:val="both"/>
        <w:rPr>
          <w:lang w:val="nl-NL"/>
        </w:rPr>
      </w:pPr>
      <w:r w:rsidRPr="00F31794">
        <w:rPr>
          <w:i/>
          <w:lang w:val="nl-NL"/>
        </w:rPr>
        <w:t>[aan te passen en te vervolledigen op basis van de professionele beoordeling van de bedrijfsrevisor]</w:t>
      </w:r>
      <w:r w:rsidRPr="00FF2A85">
        <w:rPr>
          <w:lang w:val="nl-NL"/>
        </w:rPr>
        <w:t>.</w:t>
      </w:r>
    </w:p>
    <w:p w:rsidR="00B41733" w:rsidRPr="00802EAA" w:rsidRDefault="00B41733" w:rsidP="00EF52FB">
      <w:pPr>
        <w:pStyle w:val="EndnoteText"/>
        <w:numPr>
          <w:ilvl w:val="0"/>
          <w:numId w:val="9"/>
        </w:numPr>
        <w:tabs>
          <w:tab w:val="num" w:pos="360"/>
        </w:tabs>
        <w:spacing w:line="240" w:lineRule="auto"/>
        <w:ind w:left="360" w:right="41"/>
        <w:jc w:val="both"/>
        <w:rPr>
          <w:lang w:val="nl-BE"/>
        </w:rPr>
      </w:pPr>
    </w:p>
  </w:endnote>
  <w:endnote w:id="4">
    <w:p w:rsidR="00B41733" w:rsidRPr="00FF2A85" w:rsidRDefault="00B41733" w:rsidP="00FF2A85">
      <w:pPr>
        <w:pStyle w:val="EndnoteText"/>
        <w:spacing w:line="240" w:lineRule="auto"/>
        <w:jc w:val="both"/>
        <w:rPr>
          <w:lang w:val="nl-BE"/>
        </w:rPr>
      </w:pPr>
      <w:r w:rsidRPr="00FF2A85">
        <w:rPr>
          <w:rStyle w:val="EndnoteReference"/>
        </w:rPr>
        <w:endnoteRef/>
      </w:r>
      <w:r w:rsidRPr="00350AB8">
        <w:rPr>
          <w:lang w:val="nl-NL"/>
        </w:rPr>
        <w:t xml:space="preserve"> </w:t>
      </w:r>
      <w:r w:rsidRPr="00FF2A85">
        <w:rPr>
          <w:lang w:val="nl-BE"/>
        </w:rPr>
        <w:t>De conclusie moet worden aangepast indien er aanwijzingen zijn dat bij wijze van voorbeeld:</w:t>
      </w:r>
    </w:p>
    <w:p w:rsidR="00B41733" w:rsidRPr="00802EAA" w:rsidRDefault="00B41733" w:rsidP="00EF52FB">
      <w:pPr>
        <w:pStyle w:val="EndnoteText"/>
        <w:numPr>
          <w:ilvl w:val="0"/>
          <w:numId w:val="10"/>
        </w:numPr>
        <w:tabs>
          <w:tab w:val="clear" w:pos="720"/>
          <w:tab w:val="num" w:pos="360"/>
        </w:tabs>
        <w:spacing w:line="240" w:lineRule="auto"/>
        <w:ind w:left="360"/>
        <w:jc w:val="both"/>
        <w:rPr>
          <w:lang w:val="nl-BE"/>
        </w:rPr>
      </w:pPr>
      <w:r w:rsidRPr="00FF2A85">
        <w:rPr>
          <w:lang w:val="nl-NL"/>
        </w:rPr>
        <w:t xml:space="preserve">het verslaggevingsproces ernstige tekortkomingen vertoont waardoor de betrouwbaarheid van de aangifte niet kan worden gewaarborgd (tenzij het via alternatieve methoden toch mogelijk is een </w:t>
      </w:r>
      <w:proofErr w:type="gramStart"/>
      <w:r w:rsidRPr="00FF2A85">
        <w:rPr>
          <w:lang w:val="nl-NL"/>
        </w:rPr>
        <w:t>beperkte mate</w:t>
      </w:r>
      <w:proofErr w:type="gramEnd"/>
      <w:r w:rsidRPr="00FF2A85">
        <w:rPr>
          <w:lang w:val="nl-NL"/>
        </w:rPr>
        <w:t xml:space="preserve"> van zekerheid tot uitdrukking te brengen inzake de betrouwbaarheid van de gerapporteerde gegevens).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33" w:rsidRDefault="009F7D49" w:rsidP="002B27B2">
    <w:pPr>
      <w:pStyle w:val="Footer"/>
      <w:framePr w:wrap="around" w:vAnchor="text" w:hAnchor="margin" w:xAlign="right" w:y="1"/>
      <w:rPr>
        <w:rStyle w:val="PageNumber"/>
      </w:rPr>
    </w:pPr>
    <w:r>
      <w:rPr>
        <w:rStyle w:val="PageNumber"/>
      </w:rPr>
      <w:fldChar w:fldCharType="begin"/>
    </w:r>
    <w:r w:rsidR="00B41733">
      <w:rPr>
        <w:rStyle w:val="PageNumber"/>
      </w:rPr>
      <w:instrText xml:space="preserve">PAGE  </w:instrText>
    </w:r>
    <w:r>
      <w:rPr>
        <w:rStyle w:val="PageNumber"/>
      </w:rPr>
      <w:fldChar w:fldCharType="end"/>
    </w:r>
  </w:p>
  <w:p w:rsidR="00B41733" w:rsidRDefault="00B41733" w:rsidP="00A44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33" w:rsidRDefault="009F7D49" w:rsidP="002B27B2">
    <w:pPr>
      <w:pStyle w:val="Footer"/>
      <w:framePr w:wrap="around" w:vAnchor="text" w:hAnchor="margin" w:xAlign="right" w:y="1"/>
      <w:rPr>
        <w:rStyle w:val="PageNumber"/>
      </w:rPr>
    </w:pPr>
    <w:r>
      <w:rPr>
        <w:rStyle w:val="PageNumber"/>
      </w:rPr>
      <w:fldChar w:fldCharType="begin"/>
    </w:r>
    <w:r w:rsidR="00B41733">
      <w:rPr>
        <w:rStyle w:val="PageNumber"/>
      </w:rPr>
      <w:instrText xml:space="preserve">PAGE  </w:instrText>
    </w:r>
    <w:r>
      <w:rPr>
        <w:rStyle w:val="PageNumber"/>
      </w:rPr>
      <w:fldChar w:fldCharType="separate"/>
    </w:r>
    <w:r w:rsidR="00FF3A1F">
      <w:rPr>
        <w:rStyle w:val="PageNumber"/>
        <w:noProof/>
      </w:rPr>
      <w:t>3</w:t>
    </w:r>
    <w:r>
      <w:rPr>
        <w:rStyle w:val="PageNumber"/>
      </w:rPr>
      <w:fldChar w:fldCharType="end"/>
    </w:r>
  </w:p>
  <w:p w:rsidR="00B41733" w:rsidRDefault="00B41733" w:rsidP="00A44F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55" w:rsidRDefault="00FA0255">
      <w:r>
        <w:separator/>
      </w:r>
    </w:p>
  </w:footnote>
  <w:footnote w:type="continuationSeparator" w:id="0">
    <w:p w:rsidR="00FA0255" w:rsidRDefault="00FA0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33" w:rsidRDefault="00B41733" w:rsidP="004768E4">
    <w:pPr>
      <w:pStyle w:val="Header"/>
      <w:jc w:val="left"/>
      <w:rPr>
        <w:b/>
        <w:i w:val="0"/>
        <w:lang w:val="nl-NL"/>
      </w:rPr>
    </w:pPr>
    <w:r>
      <w:rPr>
        <w:b/>
        <w:i w:val="0"/>
        <w:lang w:val="nl-NL"/>
      </w:rPr>
      <w:t>Beoordeling aangifte incasso vzw CANARA</w:t>
    </w:r>
  </w:p>
  <w:p w:rsidR="00B41733" w:rsidRPr="004768E4" w:rsidRDefault="00B41733" w:rsidP="004768E4">
    <w:pPr>
      <w:pStyle w:val="Header"/>
      <w:jc w:val="left"/>
      <w:rPr>
        <w:b/>
        <w:i w:val="0"/>
        <w:lang w:val="nl-NL"/>
      </w:rPr>
    </w:pPr>
    <w:r>
      <w:rPr>
        <w:b/>
        <w:i w:val="0"/>
        <w:lang w:val="nl-NL"/>
      </w:rPr>
      <w:t xml:space="preserve">versie </w:t>
    </w:r>
    <w:r w:rsidR="006E49BB">
      <w:rPr>
        <w:b/>
        <w:i w:val="0"/>
        <w:lang w:val="nl-NL"/>
      </w:rPr>
      <w:t>2</w:t>
    </w:r>
    <w:r w:rsidR="000112D3">
      <w:rPr>
        <w:b/>
        <w:i w:val="0"/>
        <w:lang w:val="nl-NL"/>
      </w:rPr>
      <w:t>0</w:t>
    </w:r>
    <w:r w:rsidR="00802EAA">
      <w:rPr>
        <w:b/>
        <w:i w:val="0"/>
        <w:lang w:val="nl-NL"/>
      </w:rPr>
      <w:t xml:space="preserve"> april 201</w:t>
    </w:r>
    <w:r w:rsidR="006E49BB">
      <w:rPr>
        <w:b/>
        <w:i w:val="0"/>
        <w:lang w:val="nl-NL"/>
      </w:rPr>
      <w:t>7</w:t>
    </w:r>
  </w:p>
  <w:p w:rsidR="00B41733" w:rsidRPr="00726B67" w:rsidRDefault="00B41733" w:rsidP="004768E4">
    <w:pPr>
      <w:pStyle w:val="Header"/>
      <w:jc w:val="left"/>
      <w:rPr>
        <w:b/>
        <w:i w:val="0"/>
        <w:sz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1AA03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99E302D"/>
    <w:multiLevelType w:val="hybridMultilevel"/>
    <w:tmpl w:val="B4802AC8"/>
    <w:lvl w:ilvl="0" w:tplc="CF14D292">
      <w:numFmt w:val="bullet"/>
      <w:lvlText w:val="-"/>
      <w:lvlJc w:val="left"/>
      <w:pPr>
        <w:tabs>
          <w:tab w:val="num" w:pos="480"/>
        </w:tabs>
        <w:ind w:left="48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946D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4"/>
  </w:num>
  <w:num w:numId="9">
    <w:abstractNumId w:val="2"/>
  </w:num>
  <w:num w:numId="10">
    <w:abstractNumId w:val="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4616"/>
    <w:rsid w:val="00006736"/>
    <w:rsid w:val="00006D54"/>
    <w:rsid w:val="00007743"/>
    <w:rsid w:val="000112D3"/>
    <w:rsid w:val="00013558"/>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1671"/>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7946"/>
    <w:rsid w:val="000E600E"/>
    <w:rsid w:val="000F5776"/>
    <w:rsid w:val="000F70CD"/>
    <w:rsid w:val="001112D8"/>
    <w:rsid w:val="00111EA1"/>
    <w:rsid w:val="001138E3"/>
    <w:rsid w:val="00116918"/>
    <w:rsid w:val="00117A36"/>
    <w:rsid w:val="001214EB"/>
    <w:rsid w:val="00121E39"/>
    <w:rsid w:val="00121F09"/>
    <w:rsid w:val="00123F3D"/>
    <w:rsid w:val="00124DA6"/>
    <w:rsid w:val="00136126"/>
    <w:rsid w:val="00147BD1"/>
    <w:rsid w:val="00162E98"/>
    <w:rsid w:val="00163889"/>
    <w:rsid w:val="001638C0"/>
    <w:rsid w:val="00171E15"/>
    <w:rsid w:val="00172840"/>
    <w:rsid w:val="001772B7"/>
    <w:rsid w:val="0017781A"/>
    <w:rsid w:val="0018355A"/>
    <w:rsid w:val="00183FBD"/>
    <w:rsid w:val="0018474A"/>
    <w:rsid w:val="00185962"/>
    <w:rsid w:val="00186855"/>
    <w:rsid w:val="00195E62"/>
    <w:rsid w:val="00196B9D"/>
    <w:rsid w:val="001A68CC"/>
    <w:rsid w:val="001B0BDE"/>
    <w:rsid w:val="001B1B52"/>
    <w:rsid w:val="001B4FD6"/>
    <w:rsid w:val="001B507F"/>
    <w:rsid w:val="001C136E"/>
    <w:rsid w:val="001D2A26"/>
    <w:rsid w:val="001D4BA0"/>
    <w:rsid w:val="001D4F9F"/>
    <w:rsid w:val="001D6D27"/>
    <w:rsid w:val="001E1DAF"/>
    <w:rsid w:val="001F09F8"/>
    <w:rsid w:val="001F171F"/>
    <w:rsid w:val="001F761E"/>
    <w:rsid w:val="00202DC8"/>
    <w:rsid w:val="00204845"/>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16CCD"/>
    <w:rsid w:val="003208E8"/>
    <w:rsid w:val="00320BC6"/>
    <w:rsid w:val="0032322B"/>
    <w:rsid w:val="0032433E"/>
    <w:rsid w:val="003329E4"/>
    <w:rsid w:val="003346E8"/>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A1B23"/>
    <w:rsid w:val="003A3B5C"/>
    <w:rsid w:val="003B1DF7"/>
    <w:rsid w:val="003B5078"/>
    <w:rsid w:val="003B6DAA"/>
    <w:rsid w:val="003B6DD2"/>
    <w:rsid w:val="003B7B02"/>
    <w:rsid w:val="003C04D9"/>
    <w:rsid w:val="003D11E3"/>
    <w:rsid w:val="003E093E"/>
    <w:rsid w:val="003E46B6"/>
    <w:rsid w:val="003E7704"/>
    <w:rsid w:val="003F096D"/>
    <w:rsid w:val="003F0F61"/>
    <w:rsid w:val="003F5D8B"/>
    <w:rsid w:val="003F7FBA"/>
    <w:rsid w:val="00400642"/>
    <w:rsid w:val="004016C1"/>
    <w:rsid w:val="00410507"/>
    <w:rsid w:val="0041244E"/>
    <w:rsid w:val="00412C41"/>
    <w:rsid w:val="00415B2D"/>
    <w:rsid w:val="004166DE"/>
    <w:rsid w:val="004271EF"/>
    <w:rsid w:val="004326A6"/>
    <w:rsid w:val="004328B1"/>
    <w:rsid w:val="00435E65"/>
    <w:rsid w:val="00437433"/>
    <w:rsid w:val="00441B54"/>
    <w:rsid w:val="00446A2F"/>
    <w:rsid w:val="00447F11"/>
    <w:rsid w:val="00451A37"/>
    <w:rsid w:val="004570E7"/>
    <w:rsid w:val="00460627"/>
    <w:rsid w:val="00472970"/>
    <w:rsid w:val="004768E4"/>
    <w:rsid w:val="00480FF6"/>
    <w:rsid w:val="00481586"/>
    <w:rsid w:val="0048524B"/>
    <w:rsid w:val="00485D65"/>
    <w:rsid w:val="00487DC2"/>
    <w:rsid w:val="0049113B"/>
    <w:rsid w:val="004A1091"/>
    <w:rsid w:val="004A20D4"/>
    <w:rsid w:val="004A5834"/>
    <w:rsid w:val="004A6576"/>
    <w:rsid w:val="004B2313"/>
    <w:rsid w:val="004B283A"/>
    <w:rsid w:val="004B4CE9"/>
    <w:rsid w:val="004B7CDE"/>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6995"/>
    <w:rsid w:val="005170F5"/>
    <w:rsid w:val="00526A80"/>
    <w:rsid w:val="00526DD4"/>
    <w:rsid w:val="00536F9D"/>
    <w:rsid w:val="00540F38"/>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86542"/>
    <w:rsid w:val="006A0DCB"/>
    <w:rsid w:val="006A6B65"/>
    <w:rsid w:val="006A72F4"/>
    <w:rsid w:val="006B0DC1"/>
    <w:rsid w:val="006B41BF"/>
    <w:rsid w:val="006B72E8"/>
    <w:rsid w:val="006C0D83"/>
    <w:rsid w:val="006C1629"/>
    <w:rsid w:val="006C3410"/>
    <w:rsid w:val="006C63A6"/>
    <w:rsid w:val="006C70F6"/>
    <w:rsid w:val="006D2432"/>
    <w:rsid w:val="006D314E"/>
    <w:rsid w:val="006D46C3"/>
    <w:rsid w:val="006D511A"/>
    <w:rsid w:val="006E113B"/>
    <w:rsid w:val="006E49BB"/>
    <w:rsid w:val="006E4CBD"/>
    <w:rsid w:val="006F142D"/>
    <w:rsid w:val="006F3DCC"/>
    <w:rsid w:val="00700A08"/>
    <w:rsid w:val="007139AF"/>
    <w:rsid w:val="00715705"/>
    <w:rsid w:val="007157FB"/>
    <w:rsid w:val="00715F04"/>
    <w:rsid w:val="00715F40"/>
    <w:rsid w:val="00726A9B"/>
    <w:rsid w:val="00726B67"/>
    <w:rsid w:val="007274E7"/>
    <w:rsid w:val="00731873"/>
    <w:rsid w:val="00732362"/>
    <w:rsid w:val="00733E01"/>
    <w:rsid w:val="00735915"/>
    <w:rsid w:val="0074325B"/>
    <w:rsid w:val="007446AE"/>
    <w:rsid w:val="00745061"/>
    <w:rsid w:val="0074512F"/>
    <w:rsid w:val="00745267"/>
    <w:rsid w:val="00756852"/>
    <w:rsid w:val="007667EA"/>
    <w:rsid w:val="00767883"/>
    <w:rsid w:val="007714DD"/>
    <w:rsid w:val="00771996"/>
    <w:rsid w:val="00772122"/>
    <w:rsid w:val="007815E3"/>
    <w:rsid w:val="00784133"/>
    <w:rsid w:val="00785B5D"/>
    <w:rsid w:val="007A6ACC"/>
    <w:rsid w:val="007B2F34"/>
    <w:rsid w:val="007C1D19"/>
    <w:rsid w:val="007C24C5"/>
    <w:rsid w:val="007C5B21"/>
    <w:rsid w:val="007C5D96"/>
    <w:rsid w:val="007D2891"/>
    <w:rsid w:val="007D3911"/>
    <w:rsid w:val="007D7757"/>
    <w:rsid w:val="007D7F62"/>
    <w:rsid w:val="007E2F01"/>
    <w:rsid w:val="007E6183"/>
    <w:rsid w:val="007E6D13"/>
    <w:rsid w:val="007F02D6"/>
    <w:rsid w:val="007F33E4"/>
    <w:rsid w:val="007F3A47"/>
    <w:rsid w:val="007F59F3"/>
    <w:rsid w:val="007F7E9F"/>
    <w:rsid w:val="00802EAA"/>
    <w:rsid w:val="0080466B"/>
    <w:rsid w:val="00805DA6"/>
    <w:rsid w:val="00805F8C"/>
    <w:rsid w:val="00812397"/>
    <w:rsid w:val="00817361"/>
    <w:rsid w:val="00820973"/>
    <w:rsid w:val="00823D28"/>
    <w:rsid w:val="00823E7F"/>
    <w:rsid w:val="008341F4"/>
    <w:rsid w:val="00834EAF"/>
    <w:rsid w:val="0084233A"/>
    <w:rsid w:val="00845B27"/>
    <w:rsid w:val="008502B7"/>
    <w:rsid w:val="00851B64"/>
    <w:rsid w:val="00855582"/>
    <w:rsid w:val="008563CF"/>
    <w:rsid w:val="00856849"/>
    <w:rsid w:val="0086226F"/>
    <w:rsid w:val="00864A80"/>
    <w:rsid w:val="0087086B"/>
    <w:rsid w:val="00871A7D"/>
    <w:rsid w:val="00877783"/>
    <w:rsid w:val="00880990"/>
    <w:rsid w:val="00881174"/>
    <w:rsid w:val="0088301E"/>
    <w:rsid w:val="00893B89"/>
    <w:rsid w:val="00897972"/>
    <w:rsid w:val="008A605B"/>
    <w:rsid w:val="008B14F1"/>
    <w:rsid w:val="008C25E3"/>
    <w:rsid w:val="008C3A72"/>
    <w:rsid w:val="008C7361"/>
    <w:rsid w:val="008D0A0B"/>
    <w:rsid w:val="008D3559"/>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53BB"/>
    <w:rsid w:val="009B73D9"/>
    <w:rsid w:val="009C1065"/>
    <w:rsid w:val="009C3459"/>
    <w:rsid w:val="009D07E4"/>
    <w:rsid w:val="009E2B79"/>
    <w:rsid w:val="009F570D"/>
    <w:rsid w:val="009F6BF6"/>
    <w:rsid w:val="009F72E9"/>
    <w:rsid w:val="009F7D49"/>
    <w:rsid w:val="00A02F56"/>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534D7"/>
    <w:rsid w:val="00A57AE6"/>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2B28"/>
    <w:rsid w:val="00AF547C"/>
    <w:rsid w:val="00B0055E"/>
    <w:rsid w:val="00B067C3"/>
    <w:rsid w:val="00B078C9"/>
    <w:rsid w:val="00B10421"/>
    <w:rsid w:val="00B10726"/>
    <w:rsid w:val="00B15774"/>
    <w:rsid w:val="00B41733"/>
    <w:rsid w:val="00B4683F"/>
    <w:rsid w:val="00B60F81"/>
    <w:rsid w:val="00B64C8A"/>
    <w:rsid w:val="00B70C36"/>
    <w:rsid w:val="00B73F41"/>
    <w:rsid w:val="00B74B5D"/>
    <w:rsid w:val="00B75C79"/>
    <w:rsid w:val="00B919B1"/>
    <w:rsid w:val="00BA19F8"/>
    <w:rsid w:val="00BA7187"/>
    <w:rsid w:val="00BB4205"/>
    <w:rsid w:val="00BB471E"/>
    <w:rsid w:val="00BB7950"/>
    <w:rsid w:val="00BC6D4A"/>
    <w:rsid w:val="00BC7836"/>
    <w:rsid w:val="00BD0C3D"/>
    <w:rsid w:val="00BD23EE"/>
    <w:rsid w:val="00BD4041"/>
    <w:rsid w:val="00BD4CB7"/>
    <w:rsid w:val="00BE5E10"/>
    <w:rsid w:val="00BF0647"/>
    <w:rsid w:val="00C01F44"/>
    <w:rsid w:val="00C04131"/>
    <w:rsid w:val="00C1567E"/>
    <w:rsid w:val="00C17319"/>
    <w:rsid w:val="00C34F40"/>
    <w:rsid w:val="00C40601"/>
    <w:rsid w:val="00C40ACC"/>
    <w:rsid w:val="00C4394B"/>
    <w:rsid w:val="00C45233"/>
    <w:rsid w:val="00C463D7"/>
    <w:rsid w:val="00C517B4"/>
    <w:rsid w:val="00C56FE3"/>
    <w:rsid w:val="00C650D7"/>
    <w:rsid w:val="00C7163B"/>
    <w:rsid w:val="00C7434E"/>
    <w:rsid w:val="00C74808"/>
    <w:rsid w:val="00C7552F"/>
    <w:rsid w:val="00C8165C"/>
    <w:rsid w:val="00C85C1D"/>
    <w:rsid w:val="00C90D70"/>
    <w:rsid w:val="00C9630C"/>
    <w:rsid w:val="00CA312E"/>
    <w:rsid w:val="00CA4E0C"/>
    <w:rsid w:val="00CA5AD8"/>
    <w:rsid w:val="00CB177A"/>
    <w:rsid w:val="00CB2E1D"/>
    <w:rsid w:val="00CB5BE9"/>
    <w:rsid w:val="00CD7A8C"/>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0BC8"/>
    <w:rsid w:val="00D83C8B"/>
    <w:rsid w:val="00D845A6"/>
    <w:rsid w:val="00D874DD"/>
    <w:rsid w:val="00D90B3A"/>
    <w:rsid w:val="00DA47E5"/>
    <w:rsid w:val="00DB209B"/>
    <w:rsid w:val="00DB417A"/>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2415"/>
    <w:rsid w:val="00E241CF"/>
    <w:rsid w:val="00E355B7"/>
    <w:rsid w:val="00E360E9"/>
    <w:rsid w:val="00E42423"/>
    <w:rsid w:val="00E46E80"/>
    <w:rsid w:val="00E50538"/>
    <w:rsid w:val="00E532EF"/>
    <w:rsid w:val="00E5513F"/>
    <w:rsid w:val="00E55944"/>
    <w:rsid w:val="00E6055C"/>
    <w:rsid w:val="00E6367A"/>
    <w:rsid w:val="00E64838"/>
    <w:rsid w:val="00E65B5A"/>
    <w:rsid w:val="00E66F8B"/>
    <w:rsid w:val="00E676C8"/>
    <w:rsid w:val="00E73118"/>
    <w:rsid w:val="00E746C7"/>
    <w:rsid w:val="00E85749"/>
    <w:rsid w:val="00E921AA"/>
    <w:rsid w:val="00E922A1"/>
    <w:rsid w:val="00E95A27"/>
    <w:rsid w:val="00EA7FF6"/>
    <w:rsid w:val="00EB022F"/>
    <w:rsid w:val="00EB0354"/>
    <w:rsid w:val="00EB148F"/>
    <w:rsid w:val="00EB1CF4"/>
    <w:rsid w:val="00EB2091"/>
    <w:rsid w:val="00EB7706"/>
    <w:rsid w:val="00EB7DBF"/>
    <w:rsid w:val="00EC5B48"/>
    <w:rsid w:val="00EC72C3"/>
    <w:rsid w:val="00EC7739"/>
    <w:rsid w:val="00ED7374"/>
    <w:rsid w:val="00EE28C1"/>
    <w:rsid w:val="00EE433D"/>
    <w:rsid w:val="00EE4D6F"/>
    <w:rsid w:val="00EF382C"/>
    <w:rsid w:val="00EF52FB"/>
    <w:rsid w:val="00F02364"/>
    <w:rsid w:val="00F04364"/>
    <w:rsid w:val="00F05A7A"/>
    <w:rsid w:val="00F1136B"/>
    <w:rsid w:val="00F127E7"/>
    <w:rsid w:val="00F151E4"/>
    <w:rsid w:val="00F177BE"/>
    <w:rsid w:val="00F17A12"/>
    <w:rsid w:val="00F21A26"/>
    <w:rsid w:val="00F226E8"/>
    <w:rsid w:val="00F25464"/>
    <w:rsid w:val="00F25D7A"/>
    <w:rsid w:val="00F27B11"/>
    <w:rsid w:val="00F27DAC"/>
    <w:rsid w:val="00F30049"/>
    <w:rsid w:val="00F3122B"/>
    <w:rsid w:val="00F31794"/>
    <w:rsid w:val="00F31EB0"/>
    <w:rsid w:val="00F331C6"/>
    <w:rsid w:val="00F51F39"/>
    <w:rsid w:val="00F56D23"/>
    <w:rsid w:val="00F60EB4"/>
    <w:rsid w:val="00F72515"/>
    <w:rsid w:val="00F74570"/>
    <w:rsid w:val="00F86FCD"/>
    <w:rsid w:val="00F96797"/>
    <w:rsid w:val="00FA0255"/>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3A1F"/>
    <w:rsid w:val="00FF4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7C17EE-00EB-4B39-9CCC-99C213ED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F4"/>
    <w:pPr>
      <w:spacing w:line="260" w:lineRule="atLeast"/>
    </w:pPr>
    <w:rPr>
      <w:sz w:val="22"/>
      <w:lang w:val="en-US" w:eastAsia="en-US"/>
    </w:rPr>
  </w:style>
  <w:style w:type="paragraph" w:styleId="Heading1">
    <w:name w:val="heading 1"/>
    <w:basedOn w:val="Heading2"/>
    <w:next w:val="BodyText"/>
    <w:link w:val="Heading1Char"/>
    <w:uiPriority w:val="99"/>
    <w:qFormat/>
    <w:rsid w:val="007C5B21"/>
    <w:pPr>
      <w:numPr>
        <w:ilvl w:val="0"/>
        <w:numId w:val="0"/>
      </w:numPr>
      <w:tabs>
        <w:tab w:val="num" w:pos="0"/>
      </w:tabs>
      <w:spacing w:line="360" w:lineRule="exact"/>
      <w:ind w:left="360" w:hanging="360"/>
      <w:outlineLvl w:val="0"/>
    </w:pPr>
  </w:style>
  <w:style w:type="paragraph" w:styleId="Heading2">
    <w:name w:val="heading 2"/>
    <w:basedOn w:val="BodyText"/>
    <w:next w:val="BodyText"/>
    <w:link w:val="Heading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Heading3">
    <w:name w:val="heading 3"/>
    <w:basedOn w:val="Heading4"/>
    <w:next w:val="BodyText"/>
    <w:link w:val="Heading3Char"/>
    <w:uiPriority w:val="99"/>
    <w:qFormat/>
    <w:rsid w:val="007C5B21"/>
    <w:pPr>
      <w:numPr>
        <w:ilvl w:val="2"/>
      </w:numPr>
      <w:tabs>
        <w:tab w:val="clear" w:pos="360"/>
        <w:tab w:val="num" w:pos="0"/>
      </w:tabs>
      <w:outlineLvl w:val="2"/>
    </w:pPr>
    <w:rPr>
      <w:i w:val="0"/>
    </w:rPr>
  </w:style>
  <w:style w:type="paragraph" w:styleId="Heading4">
    <w:name w:val="heading 4"/>
    <w:basedOn w:val="Heading5"/>
    <w:next w:val="BodyText"/>
    <w:link w:val="Heading4Char"/>
    <w:uiPriority w:val="99"/>
    <w:qFormat/>
    <w:rsid w:val="00195E62"/>
    <w:pPr>
      <w:numPr>
        <w:ilvl w:val="3"/>
      </w:numPr>
      <w:tabs>
        <w:tab w:val="clear" w:pos="360"/>
      </w:tabs>
      <w:outlineLvl w:val="3"/>
    </w:pPr>
    <w:rPr>
      <w:b/>
      <w:sz w:val="24"/>
    </w:rPr>
  </w:style>
  <w:style w:type="paragraph" w:styleId="Heading5">
    <w:name w:val="heading 5"/>
    <w:basedOn w:val="Heading2"/>
    <w:next w:val="BodyText"/>
    <w:link w:val="Heading5Char"/>
    <w:uiPriority w:val="99"/>
    <w:qFormat/>
    <w:rsid w:val="00195E62"/>
    <w:pPr>
      <w:numPr>
        <w:ilvl w:val="4"/>
      </w:numPr>
      <w:tabs>
        <w:tab w:val="clear" w:pos="360"/>
      </w:tabs>
      <w:outlineLvl w:val="4"/>
    </w:pPr>
    <w:rPr>
      <w:b w:val="0"/>
      <w:i/>
    </w:rPr>
  </w:style>
  <w:style w:type="paragraph" w:styleId="Heading6">
    <w:name w:val="heading 6"/>
    <w:basedOn w:val="Normal"/>
    <w:next w:val="Normal"/>
    <w:link w:val="Heading6Char"/>
    <w:uiPriority w:val="99"/>
    <w:qFormat/>
    <w:rsid w:val="007C5B21"/>
    <w:pPr>
      <w:spacing w:line="240" w:lineRule="auto"/>
      <w:outlineLvl w:val="5"/>
    </w:pPr>
    <w:rPr>
      <w:lang w:val="nl-BE"/>
    </w:rPr>
  </w:style>
  <w:style w:type="paragraph" w:styleId="Heading7">
    <w:name w:val="heading 7"/>
    <w:basedOn w:val="Normal"/>
    <w:next w:val="Normal"/>
    <w:link w:val="Heading7Char"/>
    <w:uiPriority w:val="99"/>
    <w:qFormat/>
    <w:rsid w:val="007C5B21"/>
    <w:pPr>
      <w:spacing w:line="240" w:lineRule="auto"/>
      <w:outlineLvl w:val="6"/>
    </w:pPr>
    <w:rPr>
      <w:lang w:val="nl-BE"/>
    </w:rPr>
  </w:style>
  <w:style w:type="paragraph" w:styleId="Heading8">
    <w:name w:val="heading 8"/>
    <w:basedOn w:val="Normal"/>
    <w:next w:val="Normal"/>
    <w:link w:val="Heading8Char"/>
    <w:uiPriority w:val="99"/>
    <w:qFormat/>
    <w:rsid w:val="007C5B21"/>
    <w:pPr>
      <w:spacing w:line="240" w:lineRule="auto"/>
      <w:outlineLvl w:val="7"/>
    </w:pPr>
    <w:rPr>
      <w:lang w:val="nl-BE"/>
    </w:rPr>
  </w:style>
  <w:style w:type="paragraph" w:styleId="Heading9">
    <w:name w:val="heading 9"/>
    <w:basedOn w:val="Normal"/>
    <w:next w:val="Normal"/>
    <w:link w:val="Heading9Char"/>
    <w:uiPriority w:val="99"/>
    <w:qFormat/>
    <w:rsid w:val="007C5B21"/>
    <w:p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AB0"/>
    <w:rPr>
      <w:b/>
      <w:sz w:val="22"/>
      <w:lang w:eastAsia="en-US"/>
    </w:rPr>
  </w:style>
  <w:style w:type="character" w:customStyle="1" w:styleId="Heading2Char">
    <w:name w:val="Heading 2 Char"/>
    <w:basedOn w:val="DefaultParagraphFont"/>
    <w:link w:val="Heading2"/>
    <w:uiPriority w:val="99"/>
    <w:semiHidden/>
    <w:locked/>
    <w:rsid w:val="00FE5AB0"/>
    <w:rPr>
      <w:rFonts w:cs="Times New Roman"/>
      <w:b/>
      <w:sz w:val="22"/>
      <w:lang w:val="nl-BE" w:eastAsia="en-US" w:bidi="ar-SA"/>
    </w:rPr>
  </w:style>
  <w:style w:type="character" w:customStyle="1" w:styleId="Heading3Char">
    <w:name w:val="Heading 3 Char"/>
    <w:basedOn w:val="DefaultParagraphFont"/>
    <w:link w:val="Heading3"/>
    <w:uiPriority w:val="99"/>
    <w:semiHidden/>
    <w:locked/>
    <w:rsid w:val="00FE5AB0"/>
    <w:rPr>
      <w:rFonts w:cs="Times New Roman"/>
      <w:b/>
      <w:sz w:val="24"/>
      <w:lang w:val="nl-BE" w:eastAsia="en-US" w:bidi="ar-SA"/>
    </w:rPr>
  </w:style>
  <w:style w:type="character" w:customStyle="1" w:styleId="Heading4Char">
    <w:name w:val="Heading 4 Char"/>
    <w:basedOn w:val="DefaultParagraphFont"/>
    <w:link w:val="Heading4"/>
    <w:uiPriority w:val="99"/>
    <w:semiHidden/>
    <w:locked/>
    <w:rsid w:val="00FE5AB0"/>
    <w:rPr>
      <w:rFonts w:cs="Times New Roman"/>
      <w:b/>
      <w:i/>
      <w:sz w:val="24"/>
      <w:lang w:val="nl-BE" w:eastAsia="en-US" w:bidi="ar-SA"/>
    </w:rPr>
  </w:style>
  <w:style w:type="character" w:customStyle="1" w:styleId="Heading5Char">
    <w:name w:val="Heading 5 Char"/>
    <w:basedOn w:val="DefaultParagraphFont"/>
    <w:link w:val="Heading5"/>
    <w:uiPriority w:val="99"/>
    <w:semiHidden/>
    <w:locked/>
    <w:rsid w:val="00FE5AB0"/>
    <w:rPr>
      <w:rFonts w:cs="Times New Roman"/>
      <w:i/>
      <w:sz w:val="22"/>
      <w:lang w:val="nl-BE" w:eastAsia="en-US" w:bidi="ar-SA"/>
    </w:rPr>
  </w:style>
  <w:style w:type="character" w:customStyle="1" w:styleId="Heading6Char">
    <w:name w:val="Heading 6 Char"/>
    <w:basedOn w:val="DefaultParagraphFont"/>
    <w:link w:val="Heading6"/>
    <w:uiPriority w:val="99"/>
    <w:semiHidden/>
    <w:locked/>
    <w:rsid w:val="00FE5AB0"/>
    <w:rPr>
      <w:rFonts w:ascii="Calibri" w:hAnsi="Calibri" w:cs="Times New Roman"/>
      <w:b/>
      <w:bCs/>
    </w:rPr>
  </w:style>
  <w:style w:type="character" w:customStyle="1" w:styleId="Heading7Char">
    <w:name w:val="Heading 7 Char"/>
    <w:basedOn w:val="DefaultParagraphFont"/>
    <w:link w:val="Heading7"/>
    <w:uiPriority w:val="99"/>
    <w:semiHidden/>
    <w:locked/>
    <w:rsid w:val="00FE5A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E5A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E5AB0"/>
    <w:rPr>
      <w:rFonts w:ascii="Cambria" w:hAnsi="Cambria" w:cs="Times New Roman"/>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AB0"/>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FE5AB0"/>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FE5AB0"/>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semiHidden/>
    <w:locked/>
    <w:rsid w:val="00FE5AB0"/>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FE5AB0"/>
    <w:rPr>
      <w:rFonts w:cs="Times New Roman"/>
      <w:sz w:val="20"/>
      <w:szCs w:val="20"/>
    </w:rPr>
  </w:style>
  <w:style w:type="paragraph" w:styleId="ListBullet">
    <w:name w:val="List Bullet"/>
    <w:basedOn w:val="BodyText"/>
    <w:uiPriority w:val="99"/>
    <w:rsid w:val="00DC2539"/>
    <w:pPr>
      <w:numPr>
        <w:numId w:val="8"/>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FE5AB0"/>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FE5AB0"/>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FE5AB0"/>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uiPriority w:val="99"/>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FE5AB0"/>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M7HXY6ZP62CE-1429-107</_dlc_DocId>
    <_dlc_DocIdUrl xmlns="faaac0df-efe7-4498-8ba6-14a9bebb9fed">
      <Url>https://doc.ibr-ire.be/nl/_layouts/15/DocIdRedir.aspx?ID=M7HXY6ZP62CE-1429-107</Url>
      <Description>M7HXY6ZP62CE-1429-107</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FCB5C-AA77-481D-B8A9-017D35C7B408}"/>
</file>

<file path=customXml/itemProps2.xml><?xml version="1.0" encoding="utf-8"?>
<ds:datastoreItem xmlns:ds="http://schemas.openxmlformats.org/officeDocument/2006/customXml" ds:itemID="{01369792-0699-455F-96B4-32E3FD9E002E}"/>
</file>

<file path=customXml/itemProps3.xml><?xml version="1.0" encoding="utf-8"?>
<ds:datastoreItem xmlns:ds="http://schemas.openxmlformats.org/officeDocument/2006/customXml" ds:itemID="{54C0FB94-9A7A-4FFA-8122-4DE65824177E}"/>
</file>

<file path=customXml/itemProps4.xml><?xml version="1.0" encoding="utf-8"?>
<ds:datastoreItem xmlns:ds="http://schemas.openxmlformats.org/officeDocument/2006/customXml" ds:itemID="{F1E076EC-1437-4C60-90AA-BE0DFFAB3B04}"/>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Blank document</vt:lpstr>
    </vt:vector>
  </TitlesOfParts>
  <Company>KPMG</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Roelandt, Luk</cp:lastModifiedBy>
  <cp:revision>5</cp:revision>
  <cp:lastPrinted>2015-04-07T09:45:00Z</cp:lastPrinted>
  <dcterms:created xsi:type="dcterms:W3CDTF">2017-04-14T14:23:00Z</dcterms:created>
  <dcterms:modified xsi:type="dcterms:W3CDTF">2017-04-20T07:34:00Z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75cfce60-0c94-42b4-b83c-3b36949ca360</vt:lpwstr>
  </property>
  <property fmtid="{D5CDD505-2E9C-101B-9397-08002B2CF9AE}" pid="4" name="URL">
    <vt:lpwstr/>
  </property>
  <property fmtid="{D5CDD505-2E9C-101B-9397-08002B2CF9AE}" pid="5" name="DocumentSetDescription">
    <vt:lpwstr/>
  </property>
</Properties>
</file>