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28" w:rsidRPr="00614288" w:rsidRDefault="00774528" w:rsidP="00541EE4">
      <w:pPr>
        <w:jc w:val="center"/>
        <w:rPr>
          <w:b/>
          <w:szCs w:val="22"/>
          <w:lang w:val="nl-BE"/>
        </w:rPr>
      </w:pPr>
      <w:r>
        <w:rPr>
          <w:b/>
          <w:szCs w:val="22"/>
          <w:lang w:val="nl-BE"/>
        </w:rPr>
        <w:t xml:space="preserve">Verslag van de commissaris van </w:t>
      </w:r>
      <w:r w:rsidRPr="00073C16">
        <w:rPr>
          <w:b/>
          <w:i/>
          <w:szCs w:val="22"/>
          <w:lang w:val="nl-BE"/>
        </w:rPr>
        <w:t>(identificatie van de</w:t>
      </w:r>
      <w:r>
        <w:rPr>
          <w:b/>
          <w:i/>
          <w:szCs w:val="22"/>
          <w:lang w:val="nl-BE"/>
        </w:rPr>
        <w:t xml:space="preserve"> onderneming</w:t>
      </w:r>
      <w:r w:rsidRPr="00073C16">
        <w:rPr>
          <w:b/>
          <w:i/>
          <w:szCs w:val="22"/>
          <w:lang w:val="nl-BE"/>
        </w:rPr>
        <w:t>)</w:t>
      </w:r>
      <w:r>
        <w:rPr>
          <w:b/>
          <w:szCs w:val="22"/>
          <w:lang w:val="nl-BE"/>
        </w:rPr>
        <w:t xml:space="preserve"> aan de </w:t>
      </w:r>
      <w:r w:rsidR="00937BED">
        <w:rPr>
          <w:b/>
          <w:szCs w:val="22"/>
          <w:lang w:val="nl-BE"/>
        </w:rPr>
        <w:t xml:space="preserve">FSMA </w:t>
      </w:r>
      <w:r>
        <w:rPr>
          <w:b/>
          <w:szCs w:val="22"/>
          <w:lang w:val="nl-BE"/>
        </w:rPr>
        <w:t xml:space="preserve">overeenkomstig artikel 4, § 3 van het koninklijk besluit van 1 februari 2010 tot vaststelling van de specifieke indexcijfers bedoeld in artikel </w:t>
      </w:r>
      <w:r w:rsidR="000E73B7">
        <w:rPr>
          <w:b/>
          <w:szCs w:val="22"/>
          <w:lang w:val="nl-BE"/>
        </w:rPr>
        <w:t>204</w:t>
      </w:r>
      <w:r>
        <w:rPr>
          <w:b/>
          <w:szCs w:val="22"/>
          <w:lang w:val="nl-BE"/>
        </w:rPr>
        <w:t xml:space="preserve">, § 3, van de </w:t>
      </w:r>
      <w:r w:rsidR="00937BED">
        <w:rPr>
          <w:b/>
          <w:szCs w:val="22"/>
          <w:lang w:val="nl-BE"/>
        </w:rPr>
        <w:t>W</w:t>
      </w:r>
      <w:r>
        <w:rPr>
          <w:b/>
          <w:szCs w:val="22"/>
          <w:lang w:val="nl-BE"/>
        </w:rPr>
        <w:t xml:space="preserve">et </w:t>
      </w:r>
      <w:r w:rsidR="000E73B7">
        <w:rPr>
          <w:b/>
          <w:szCs w:val="22"/>
          <w:lang w:val="nl-BE"/>
        </w:rPr>
        <w:t xml:space="preserve">betreffende de verzekeringen </w:t>
      </w:r>
      <w:r>
        <w:rPr>
          <w:b/>
          <w:szCs w:val="22"/>
          <w:lang w:val="nl-BE"/>
        </w:rPr>
        <w:t xml:space="preserve">van </w:t>
      </w:r>
      <w:r w:rsidR="000E73B7">
        <w:rPr>
          <w:b/>
          <w:szCs w:val="22"/>
          <w:lang w:val="nl-BE"/>
        </w:rPr>
        <w:t xml:space="preserve">4 april 2014 </w:t>
      </w:r>
      <w:r>
        <w:rPr>
          <w:b/>
          <w:szCs w:val="22"/>
          <w:lang w:val="nl-BE"/>
        </w:rPr>
        <w:t xml:space="preserve">met betrekking tot de gegevens </w:t>
      </w:r>
      <w:r w:rsidR="00937BED">
        <w:rPr>
          <w:b/>
          <w:szCs w:val="22"/>
          <w:lang w:val="nl-BE"/>
        </w:rPr>
        <w:t>voor de periode van 1 oktober 201X tot 30 september 201X</w:t>
      </w:r>
      <w:r w:rsidR="00606761">
        <w:rPr>
          <w:b/>
          <w:szCs w:val="22"/>
          <w:lang w:val="nl-BE"/>
        </w:rPr>
        <w:t>+1</w:t>
      </w:r>
    </w:p>
    <w:p w:rsidR="00774528" w:rsidRDefault="00774528" w:rsidP="00F05A7A">
      <w:pPr>
        <w:jc w:val="both"/>
        <w:rPr>
          <w:szCs w:val="22"/>
          <w:lang w:val="nl-BE"/>
        </w:rPr>
      </w:pPr>
    </w:p>
    <w:p w:rsidR="00774528" w:rsidRDefault="00774528" w:rsidP="00F05A7A">
      <w:pPr>
        <w:jc w:val="both"/>
        <w:rPr>
          <w:szCs w:val="22"/>
          <w:lang w:val="nl-BE"/>
        </w:rPr>
      </w:pPr>
    </w:p>
    <w:p w:rsidR="00774528" w:rsidRDefault="00774528" w:rsidP="00F05A7A">
      <w:pPr>
        <w:jc w:val="both"/>
        <w:rPr>
          <w:szCs w:val="22"/>
          <w:lang w:val="nl-BE"/>
        </w:rPr>
      </w:pPr>
    </w:p>
    <w:p w:rsidR="00774528" w:rsidRPr="0032433E" w:rsidRDefault="00774528" w:rsidP="00F05A7A">
      <w:pPr>
        <w:jc w:val="both"/>
        <w:rPr>
          <w:b/>
          <w:szCs w:val="22"/>
          <w:lang w:val="nl-BE"/>
        </w:rPr>
      </w:pPr>
      <w:r w:rsidRPr="0032433E">
        <w:rPr>
          <w:b/>
          <w:szCs w:val="22"/>
          <w:lang w:val="nl-BE"/>
        </w:rPr>
        <w:t>Opdracht</w:t>
      </w:r>
    </w:p>
    <w:p w:rsidR="00774528" w:rsidRPr="0032433E" w:rsidRDefault="00774528" w:rsidP="00F05A7A">
      <w:pPr>
        <w:jc w:val="both"/>
        <w:rPr>
          <w:szCs w:val="22"/>
          <w:lang w:val="nl-BE"/>
        </w:rPr>
      </w:pPr>
    </w:p>
    <w:p w:rsidR="00774528" w:rsidRDefault="00774528" w:rsidP="00A46BA9">
      <w:pPr>
        <w:autoSpaceDE w:val="0"/>
        <w:autoSpaceDN w:val="0"/>
        <w:adjustRightInd w:val="0"/>
        <w:spacing w:line="240" w:lineRule="auto"/>
        <w:jc w:val="both"/>
        <w:rPr>
          <w:szCs w:val="22"/>
          <w:lang w:val="nl-BE"/>
        </w:rPr>
      </w:pPr>
      <w:r>
        <w:rPr>
          <w:szCs w:val="22"/>
          <w:lang w:val="nl-BE"/>
        </w:rPr>
        <w:t>Overeenkomstig artikel 4, § 3</w:t>
      </w:r>
      <w:r w:rsidRPr="00E47F2B">
        <w:rPr>
          <w:b/>
          <w:szCs w:val="22"/>
          <w:lang w:val="nl-BE"/>
        </w:rPr>
        <w:t xml:space="preserve"> </w:t>
      </w:r>
      <w:r w:rsidRPr="00E47F2B">
        <w:rPr>
          <w:szCs w:val="22"/>
          <w:lang w:val="nl-BE"/>
        </w:rPr>
        <w:t xml:space="preserve">van het koninklijk besluit van 1 februari 2010 tot vaststelling van de specifieke indexcijfers bedoeld in artikel </w:t>
      </w:r>
      <w:r w:rsidR="000E73B7">
        <w:rPr>
          <w:szCs w:val="22"/>
          <w:lang w:val="nl-BE"/>
        </w:rPr>
        <w:t>204</w:t>
      </w:r>
      <w:r w:rsidRPr="00E47F2B">
        <w:rPr>
          <w:szCs w:val="22"/>
          <w:lang w:val="nl-BE"/>
        </w:rPr>
        <w:t xml:space="preserve">, § 3, van de </w:t>
      </w:r>
      <w:r w:rsidR="00937BED">
        <w:rPr>
          <w:szCs w:val="22"/>
          <w:lang w:val="nl-BE"/>
        </w:rPr>
        <w:t>W</w:t>
      </w:r>
      <w:r w:rsidRPr="00E47F2B">
        <w:rPr>
          <w:szCs w:val="22"/>
          <w:lang w:val="nl-BE"/>
        </w:rPr>
        <w:t xml:space="preserve">et </w:t>
      </w:r>
      <w:r w:rsidR="000E73B7" w:rsidRPr="00DD17B6">
        <w:rPr>
          <w:lang w:val="nl"/>
        </w:rPr>
        <w:t>betreffende de verzekeringen</w:t>
      </w:r>
      <w:r w:rsidR="000E73B7" w:rsidRPr="00E47F2B">
        <w:rPr>
          <w:szCs w:val="22"/>
          <w:lang w:val="nl-BE"/>
        </w:rPr>
        <w:t xml:space="preserve"> </w:t>
      </w:r>
      <w:r w:rsidRPr="00E47F2B">
        <w:rPr>
          <w:szCs w:val="22"/>
          <w:lang w:val="nl-BE"/>
        </w:rPr>
        <w:t xml:space="preserve">van </w:t>
      </w:r>
      <w:r w:rsidR="000E73B7">
        <w:rPr>
          <w:szCs w:val="22"/>
          <w:lang w:val="nl-BE"/>
        </w:rPr>
        <w:t>4</w:t>
      </w:r>
      <w:r w:rsidR="000E73B7" w:rsidRPr="00E47F2B">
        <w:rPr>
          <w:szCs w:val="22"/>
          <w:lang w:val="nl-BE"/>
        </w:rPr>
        <w:t xml:space="preserve"> </w:t>
      </w:r>
      <w:r w:rsidR="000E73B7">
        <w:rPr>
          <w:szCs w:val="22"/>
          <w:lang w:val="nl-BE"/>
        </w:rPr>
        <w:t>april</w:t>
      </w:r>
      <w:r w:rsidR="000E73B7" w:rsidRPr="00E47F2B">
        <w:rPr>
          <w:szCs w:val="22"/>
          <w:lang w:val="nl-BE"/>
        </w:rPr>
        <w:t xml:space="preserve"> </w:t>
      </w:r>
      <w:r w:rsidR="000E73B7">
        <w:rPr>
          <w:szCs w:val="22"/>
          <w:lang w:val="nl-BE"/>
        </w:rPr>
        <w:t>2014</w:t>
      </w:r>
      <w:r w:rsidR="000E73B7" w:rsidRPr="00E47F2B">
        <w:rPr>
          <w:szCs w:val="22"/>
          <w:lang w:val="nl-BE"/>
        </w:rPr>
        <w:t xml:space="preserve"> </w:t>
      </w:r>
      <w:r w:rsidRPr="00E47F2B">
        <w:rPr>
          <w:szCs w:val="22"/>
          <w:lang w:val="nl-BE"/>
        </w:rPr>
        <w:t>(</w:t>
      </w:r>
      <w:r w:rsidR="000E73B7" w:rsidRPr="00DD17B6">
        <w:rPr>
          <w:lang w:val="nl"/>
        </w:rPr>
        <w:t>hierna aangemerkt als “koninklijk besluit medische index”</w:t>
      </w:r>
      <w:r w:rsidRPr="00E47F2B">
        <w:rPr>
          <w:szCs w:val="22"/>
          <w:lang w:val="nl-BE"/>
        </w:rPr>
        <w:t>)</w:t>
      </w:r>
      <w:r>
        <w:rPr>
          <w:szCs w:val="22"/>
          <w:lang w:val="nl-BE"/>
        </w:rPr>
        <w:t xml:space="preserve"> </w:t>
      </w:r>
      <w:r w:rsidR="000E73B7" w:rsidRPr="00DD17B6">
        <w:rPr>
          <w:lang w:val="nl"/>
        </w:rPr>
        <w:t>zoals gewijzigd door het koninklijk besluit van 18 maart 2016</w:t>
      </w:r>
      <w:r w:rsidR="00597C92">
        <w:rPr>
          <w:lang w:val="nl"/>
        </w:rPr>
        <w:t xml:space="preserve"> en de bijkomende instructies van de FSMA van 4 april 2017</w:t>
      </w:r>
      <w:r w:rsidR="000E73B7" w:rsidRPr="00DD17B6">
        <w:rPr>
          <w:lang w:val="nl-BE"/>
        </w:rPr>
        <w:t>,</w:t>
      </w:r>
      <w:r w:rsidR="000E73B7" w:rsidRPr="00DD17B6">
        <w:rPr>
          <w:lang w:val="nl"/>
        </w:rPr>
        <w:t xml:space="preserve"> dienen de commissarissen van verzekeringsondernemingen die onderworpen zijn aan de </w:t>
      </w:r>
      <w:r w:rsidR="00937BED">
        <w:rPr>
          <w:lang w:val="nl"/>
        </w:rPr>
        <w:t>W</w:t>
      </w:r>
      <w:r w:rsidR="000E73B7" w:rsidRPr="00DD17B6">
        <w:rPr>
          <w:lang w:val="nl"/>
        </w:rPr>
        <w:t>et van 13 maart 2016 en die de tak-2 Ziekte beoefenen de gegevens te certificeren voor de berekening van de specifieke indexcijfers voor de andere dan de beroepsgebonden ziektekosten-verzekeringen (i.e. de jaarlijkse opgave van de bruto schadelast per waarborgtype en per leeftijdsklasse voor de andere dan de beroepsgebonden ziektekostenverzekeringen</w:t>
      </w:r>
      <w:r w:rsidR="00597C92">
        <w:rPr>
          <w:lang w:val="nl"/>
        </w:rPr>
        <w:t>,</w:t>
      </w:r>
      <w:r w:rsidR="000E73B7" w:rsidRPr="00DD17B6">
        <w:rPr>
          <w:lang w:val="nl"/>
        </w:rPr>
        <w:t xml:space="preserve"> de jaarlijkse opgave van het aantal verzekerden per waarborgtype en per leeftijdsklasse</w:t>
      </w:r>
      <w:r w:rsidR="00597C92">
        <w:rPr>
          <w:lang w:val="nl"/>
        </w:rPr>
        <w:t xml:space="preserve"> en het premie-incasso</w:t>
      </w:r>
      <w:r w:rsidR="000E73B7" w:rsidRPr="00DD17B6">
        <w:rPr>
          <w:lang w:val="nl"/>
        </w:rPr>
        <w:t>).</w:t>
      </w:r>
      <w:r>
        <w:rPr>
          <w:szCs w:val="22"/>
          <w:lang w:val="nl-BE"/>
        </w:rPr>
        <w:t xml:space="preserve"> </w:t>
      </w:r>
    </w:p>
    <w:p w:rsidR="00774528" w:rsidRDefault="00774528" w:rsidP="00A46BA9">
      <w:pPr>
        <w:autoSpaceDE w:val="0"/>
        <w:autoSpaceDN w:val="0"/>
        <w:adjustRightInd w:val="0"/>
        <w:spacing w:line="240" w:lineRule="auto"/>
        <w:jc w:val="both"/>
        <w:rPr>
          <w:szCs w:val="22"/>
          <w:lang w:val="nl-BE"/>
        </w:rPr>
      </w:pPr>
    </w:p>
    <w:p w:rsidR="00774528" w:rsidRDefault="00774528" w:rsidP="00A46BA9">
      <w:pPr>
        <w:autoSpaceDE w:val="0"/>
        <w:autoSpaceDN w:val="0"/>
        <w:adjustRightInd w:val="0"/>
        <w:spacing w:line="240" w:lineRule="auto"/>
        <w:jc w:val="both"/>
        <w:rPr>
          <w:b/>
          <w:szCs w:val="22"/>
          <w:lang w:val="nl-BE"/>
        </w:rPr>
      </w:pPr>
      <w:r w:rsidRPr="0032433E">
        <w:rPr>
          <w:szCs w:val="22"/>
          <w:lang w:val="nl-BE"/>
        </w:rPr>
        <w:t xml:space="preserve">Het opstellen van de gegevens in overeenstemming met de </w:t>
      </w:r>
      <w:r w:rsidR="000E73B7" w:rsidRPr="00DD17B6">
        <w:rPr>
          <w:lang w:val="nl"/>
        </w:rPr>
        <w:t xml:space="preserve">op datum van dit verslag van kracht zijnde bepalingen vastgelegd in het koninklijk besluit medische index </w:t>
      </w:r>
      <w:r w:rsidR="000E73B7" w:rsidRPr="000D4DA0">
        <w:rPr>
          <w:lang w:val="nl"/>
        </w:rPr>
        <w:t xml:space="preserve">en de bijkomende instructies van de FSMA van 4 april </w:t>
      </w:r>
      <w:proofErr w:type="gramStart"/>
      <w:r w:rsidR="000E73B7" w:rsidRPr="000D4DA0">
        <w:rPr>
          <w:lang w:val="nl"/>
        </w:rPr>
        <w:t xml:space="preserve">2017 </w:t>
      </w:r>
      <w:r>
        <w:rPr>
          <w:szCs w:val="22"/>
          <w:lang w:val="nl-BE"/>
        </w:rPr>
        <w:t xml:space="preserve"> </w:t>
      </w:r>
      <w:proofErr w:type="gramEnd"/>
      <w:r w:rsidRPr="0032433E">
        <w:rPr>
          <w:szCs w:val="22"/>
          <w:lang w:val="nl-BE"/>
        </w:rPr>
        <w:t xml:space="preserve">valt onder de verantwoordelijkheid van </w:t>
      </w:r>
      <w:r w:rsidR="000E73B7">
        <w:rPr>
          <w:szCs w:val="22"/>
          <w:lang w:val="nl-BE"/>
        </w:rPr>
        <w:t>het directiecomité</w:t>
      </w:r>
      <w:r w:rsidRPr="0032433E">
        <w:rPr>
          <w:szCs w:val="22"/>
          <w:lang w:val="nl-BE"/>
        </w:rPr>
        <w:t xml:space="preserve"> van </w:t>
      </w:r>
      <w:r w:rsidRPr="001E049D">
        <w:rPr>
          <w:i/>
          <w:szCs w:val="22"/>
          <w:lang w:val="nl-BE"/>
        </w:rPr>
        <w:t>(identificatie van de</w:t>
      </w:r>
      <w:r>
        <w:rPr>
          <w:i/>
          <w:szCs w:val="22"/>
          <w:lang w:val="nl-BE"/>
        </w:rPr>
        <w:t xml:space="preserve"> onderneming</w:t>
      </w:r>
      <w:r w:rsidRPr="001E049D">
        <w:rPr>
          <w:i/>
          <w:szCs w:val="22"/>
          <w:lang w:val="nl-BE"/>
        </w:rPr>
        <w:t>)</w:t>
      </w:r>
      <w:r w:rsidRPr="0032433E">
        <w:rPr>
          <w:szCs w:val="22"/>
          <w:lang w:val="nl-BE"/>
        </w:rPr>
        <w:t xml:space="preserve"> </w:t>
      </w:r>
      <w:r w:rsidR="00937BED">
        <w:rPr>
          <w:szCs w:val="22"/>
          <w:lang w:val="nl-BE"/>
        </w:rPr>
        <w:t xml:space="preserve">(hierna de Entiteit) </w:t>
      </w:r>
      <w:r w:rsidRPr="0032433E">
        <w:rPr>
          <w:szCs w:val="22"/>
          <w:lang w:val="nl-BE"/>
        </w:rPr>
        <w:t>onder het toezicht van het bestuursorgaan.</w:t>
      </w:r>
      <w:r w:rsidRPr="0032433E">
        <w:rPr>
          <w:b/>
          <w:szCs w:val="22"/>
          <w:lang w:val="nl-BE"/>
        </w:rPr>
        <w:t xml:space="preserve"> </w:t>
      </w:r>
    </w:p>
    <w:p w:rsidR="00774528" w:rsidRDefault="00774528" w:rsidP="00A46BA9">
      <w:pPr>
        <w:autoSpaceDE w:val="0"/>
        <w:autoSpaceDN w:val="0"/>
        <w:adjustRightInd w:val="0"/>
        <w:spacing w:line="240" w:lineRule="auto"/>
        <w:jc w:val="both"/>
        <w:rPr>
          <w:b/>
          <w:szCs w:val="22"/>
          <w:lang w:val="nl-BE"/>
        </w:rPr>
      </w:pPr>
    </w:p>
    <w:p w:rsidR="00774528" w:rsidRDefault="00774528" w:rsidP="00A46BA9">
      <w:pPr>
        <w:autoSpaceDE w:val="0"/>
        <w:autoSpaceDN w:val="0"/>
        <w:adjustRightInd w:val="0"/>
        <w:spacing w:line="240" w:lineRule="auto"/>
        <w:jc w:val="both"/>
        <w:rPr>
          <w:szCs w:val="22"/>
          <w:lang w:val="nl-NL" w:eastAsia="nl-NL"/>
        </w:rPr>
      </w:pPr>
      <w:r w:rsidRPr="0032433E">
        <w:rPr>
          <w:szCs w:val="22"/>
          <w:lang w:val="nl-NL" w:eastAsia="nl-NL"/>
        </w:rPr>
        <w:t xml:space="preserve">Het is onze verantwoordelijkheid </w:t>
      </w:r>
      <w:r>
        <w:rPr>
          <w:szCs w:val="22"/>
          <w:lang w:val="nl-NL" w:eastAsia="nl-NL"/>
        </w:rPr>
        <w:t xml:space="preserve">een conclusie te formuleren over de </w:t>
      </w:r>
      <w:r w:rsidRPr="00937BED">
        <w:rPr>
          <w:szCs w:val="22"/>
          <w:lang w:val="nl-NL" w:eastAsia="nl-NL"/>
        </w:rPr>
        <w:t xml:space="preserve">door </w:t>
      </w:r>
      <w:r w:rsidR="00937BED" w:rsidRPr="00A73597">
        <w:rPr>
          <w:szCs w:val="22"/>
          <w:lang w:val="nl-NL" w:eastAsia="nl-NL"/>
        </w:rPr>
        <w:t xml:space="preserve">de Entiteit </w:t>
      </w:r>
      <w:r w:rsidRPr="00937BED">
        <w:rPr>
          <w:szCs w:val="22"/>
          <w:lang w:val="nl-NL" w:eastAsia="nl-NL"/>
        </w:rPr>
        <w:t>verstrekte</w:t>
      </w:r>
      <w:r>
        <w:rPr>
          <w:szCs w:val="22"/>
          <w:lang w:val="nl-NL" w:eastAsia="nl-NL"/>
        </w:rPr>
        <w:t xml:space="preserve"> </w:t>
      </w:r>
      <w:r w:rsidR="003A039D">
        <w:rPr>
          <w:szCs w:val="22"/>
          <w:lang w:val="nl-NL" w:eastAsia="nl-NL"/>
        </w:rPr>
        <w:t xml:space="preserve">jaarlijkse </w:t>
      </w:r>
      <w:r>
        <w:rPr>
          <w:szCs w:val="22"/>
          <w:lang w:val="nl-NL" w:eastAsia="nl-NL"/>
        </w:rPr>
        <w:t xml:space="preserve">gegevens </w:t>
      </w:r>
      <w:r w:rsidR="003A039D" w:rsidRPr="00DD17B6">
        <w:rPr>
          <w:lang w:val="nl"/>
        </w:rPr>
        <w:t>inzake de bruto schadelast per waarborgtype en per leeftijdsklasse voor de andere dan de beroepsgebonden ziektekostenverzekeringen en het aantal verzekerden per waarborgtype en per leeftijdsklasse vo</w:t>
      </w:r>
      <w:r w:rsidR="00597C92">
        <w:rPr>
          <w:lang w:val="nl"/>
        </w:rPr>
        <w:t>or de periode van 1 oktober 201</w:t>
      </w:r>
      <w:r w:rsidR="00937BED">
        <w:rPr>
          <w:lang w:val="nl"/>
        </w:rPr>
        <w:t>X</w:t>
      </w:r>
      <w:r w:rsidR="00597C92">
        <w:rPr>
          <w:lang w:val="nl"/>
        </w:rPr>
        <w:t xml:space="preserve"> tot 30 september 201</w:t>
      </w:r>
      <w:r w:rsidR="00937BED">
        <w:rPr>
          <w:lang w:val="nl"/>
        </w:rPr>
        <w:t>X</w:t>
      </w:r>
      <w:r w:rsidR="00606761">
        <w:rPr>
          <w:lang w:val="nl"/>
        </w:rPr>
        <w:t>+1</w:t>
      </w:r>
      <w:r w:rsidR="00597C92">
        <w:rPr>
          <w:lang w:val="nl"/>
        </w:rPr>
        <w:t xml:space="preserve"> alsook het premie-incasso met betrekking tot het kalenderjaar 201</w:t>
      </w:r>
      <w:r w:rsidR="00937BED">
        <w:rPr>
          <w:lang w:val="nl"/>
        </w:rPr>
        <w:t>X</w:t>
      </w:r>
      <w:r w:rsidR="00606761">
        <w:rPr>
          <w:lang w:val="nl"/>
        </w:rPr>
        <w:t>+1</w:t>
      </w:r>
      <w:r w:rsidR="003A039D" w:rsidRPr="00DD17B6">
        <w:rPr>
          <w:lang w:val="nl"/>
        </w:rPr>
        <w:t xml:space="preserve"> op basis van de door ons uitgevoerde werkzaamheden</w:t>
      </w:r>
      <w:r>
        <w:rPr>
          <w:szCs w:val="22"/>
          <w:lang w:val="nl-NL" w:eastAsia="nl-NL"/>
        </w:rPr>
        <w:t xml:space="preserve">. </w:t>
      </w:r>
    </w:p>
    <w:p w:rsidR="00774528" w:rsidRDefault="00774528" w:rsidP="00A46BA9">
      <w:pPr>
        <w:autoSpaceDE w:val="0"/>
        <w:autoSpaceDN w:val="0"/>
        <w:adjustRightInd w:val="0"/>
        <w:spacing w:line="240" w:lineRule="auto"/>
        <w:jc w:val="both"/>
        <w:rPr>
          <w:szCs w:val="22"/>
          <w:lang w:val="nl-NL" w:eastAsia="nl-NL"/>
        </w:rPr>
      </w:pPr>
    </w:p>
    <w:p w:rsidR="00774528" w:rsidRPr="0032433E" w:rsidRDefault="00774528" w:rsidP="00A46BA9">
      <w:pPr>
        <w:autoSpaceDE w:val="0"/>
        <w:autoSpaceDN w:val="0"/>
        <w:adjustRightInd w:val="0"/>
        <w:spacing w:line="240" w:lineRule="auto"/>
        <w:jc w:val="both"/>
        <w:rPr>
          <w:szCs w:val="22"/>
          <w:lang w:val="nl-NL" w:eastAsia="nl-NL"/>
        </w:rPr>
      </w:pPr>
      <w:r>
        <w:rPr>
          <w:szCs w:val="22"/>
          <w:lang w:val="nl-NL" w:eastAsia="nl-NL"/>
        </w:rPr>
        <w:t xml:space="preserve">Een kopie van de door </w:t>
      </w:r>
      <w:r w:rsidR="003A039D">
        <w:rPr>
          <w:szCs w:val="22"/>
          <w:lang w:val="nl-NL" w:eastAsia="nl-NL"/>
        </w:rPr>
        <w:t>het directiecomité</w:t>
      </w:r>
      <w:r>
        <w:rPr>
          <w:szCs w:val="22"/>
          <w:lang w:val="nl-NL" w:eastAsia="nl-NL"/>
        </w:rPr>
        <w:t xml:space="preserve"> opgestelde </w:t>
      </w:r>
      <w:r w:rsidR="003A039D">
        <w:rPr>
          <w:szCs w:val="22"/>
          <w:lang w:val="nl-NL" w:eastAsia="nl-NL"/>
        </w:rPr>
        <w:t xml:space="preserve">jaarlijkse </w:t>
      </w:r>
      <w:r>
        <w:rPr>
          <w:szCs w:val="22"/>
          <w:lang w:val="nl-NL" w:eastAsia="nl-NL"/>
        </w:rPr>
        <w:t>opgaven is opgenomen in bijlage.</w:t>
      </w:r>
    </w:p>
    <w:p w:rsidR="00774528" w:rsidRPr="0032433E" w:rsidRDefault="00774528" w:rsidP="00A46BA9">
      <w:pPr>
        <w:autoSpaceDE w:val="0"/>
        <w:autoSpaceDN w:val="0"/>
        <w:adjustRightInd w:val="0"/>
        <w:spacing w:line="240" w:lineRule="auto"/>
        <w:jc w:val="both"/>
        <w:rPr>
          <w:szCs w:val="22"/>
          <w:lang w:val="nl-BE"/>
        </w:rPr>
      </w:pPr>
    </w:p>
    <w:p w:rsidR="00774528" w:rsidRDefault="00774528" w:rsidP="001638C0">
      <w:pPr>
        <w:ind w:right="-79"/>
        <w:jc w:val="both"/>
        <w:rPr>
          <w:b/>
          <w:szCs w:val="22"/>
          <w:lang w:val="nl-BE"/>
        </w:rPr>
      </w:pPr>
      <w:r>
        <w:rPr>
          <w:b/>
          <w:szCs w:val="22"/>
          <w:lang w:val="nl-BE"/>
        </w:rPr>
        <w:t>Uitgevoerde w</w:t>
      </w:r>
      <w:r w:rsidRPr="0032433E">
        <w:rPr>
          <w:b/>
          <w:szCs w:val="22"/>
          <w:lang w:val="nl-BE"/>
        </w:rPr>
        <w:t>erkzaamheden</w:t>
      </w:r>
    </w:p>
    <w:p w:rsidR="00774528" w:rsidRDefault="00774528" w:rsidP="001638C0">
      <w:pPr>
        <w:ind w:right="-79"/>
        <w:jc w:val="both"/>
        <w:rPr>
          <w:b/>
          <w:szCs w:val="22"/>
          <w:lang w:val="nl-BE"/>
        </w:rPr>
      </w:pPr>
    </w:p>
    <w:p w:rsidR="00774528" w:rsidRPr="00A73597" w:rsidRDefault="00774528" w:rsidP="00C91CEE">
      <w:pPr>
        <w:autoSpaceDE w:val="0"/>
        <w:autoSpaceDN w:val="0"/>
        <w:adjustRightInd w:val="0"/>
        <w:spacing w:line="240" w:lineRule="auto"/>
        <w:ind w:right="-79"/>
        <w:jc w:val="both"/>
        <w:rPr>
          <w:szCs w:val="22"/>
          <w:lang w:val="nl-BE"/>
        </w:rPr>
      </w:pPr>
      <w:r w:rsidRPr="00A73597">
        <w:rPr>
          <w:szCs w:val="22"/>
          <w:lang w:val="nl-BE"/>
        </w:rPr>
        <w:t xml:space="preserve">Wij hebben onze werkzaamheden uitgevoerd in overeenstemming met </w:t>
      </w:r>
      <w:r w:rsidRPr="00A73597">
        <w:rPr>
          <w:szCs w:val="22"/>
          <w:lang w:val="nl-NL"/>
        </w:rPr>
        <w:t xml:space="preserve">International Standard on Assurance Engagements 3000 “Assurance engagements </w:t>
      </w:r>
      <w:proofErr w:type="spellStart"/>
      <w:r w:rsidRPr="00A73597">
        <w:rPr>
          <w:szCs w:val="22"/>
          <w:lang w:val="nl-NL"/>
        </w:rPr>
        <w:t>other</w:t>
      </w:r>
      <w:proofErr w:type="spellEnd"/>
      <w:r w:rsidRPr="00A73597">
        <w:rPr>
          <w:szCs w:val="22"/>
          <w:lang w:val="nl-NL"/>
        </w:rPr>
        <w:t xml:space="preserve"> </w:t>
      </w:r>
      <w:proofErr w:type="spellStart"/>
      <w:r w:rsidRPr="00A73597">
        <w:rPr>
          <w:szCs w:val="22"/>
          <w:lang w:val="nl-NL"/>
        </w:rPr>
        <w:t>than</w:t>
      </w:r>
      <w:proofErr w:type="spellEnd"/>
      <w:r w:rsidRPr="00A73597">
        <w:rPr>
          <w:szCs w:val="22"/>
          <w:lang w:val="nl-NL"/>
        </w:rPr>
        <w:t xml:space="preserve"> audits or reviews of </w:t>
      </w:r>
      <w:proofErr w:type="spellStart"/>
      <w:r w:rsidRPr="00A73597">
        <w:rPr>
          <w:szCs w:val="22"/>
          <w:lang w:val="nl-NL"/>
        </w:rPr>
        <w:t>historical</w:t>
      </w:r>
      <w:proofErr w:type="spellEnd"/>
      <w:r w:rsidRPr="00A73597">
        <w:rPr>
          <w:szCs w:val="22"/>
          <w:lang w:val="nl-NL"/>
        </w:rPr>
        <w:t xml:space="preserve"> financial information”</w:t>
      </w:r>
      <w:r w:rsidRPr="00A73597">
        <w:rPr>
          <w:szCs w:val="22"/>
          <w:lang w:val="nl-BE"/>
        </w:rPr>
        <w:t xml:space="preserve">. Dienovereenkomstig dienen wij onze werkzaamheden zodanig te plannen en uit te voeren, dat een redelijke mate van zekerheid wordt verkregen dat de </w:t>
      </w:r>
      <w:r w:rsidR="007148A3" w:rsidRPr="00A73597">
        <w:rPr>
          <w:szCs w:val="22"/>
          <w:lang w:val="nl-BE"/>
        </w:rPr>
        <w:t xml:space="preserve">jaarlijkse </w:t>
      </w:r>
      <w:r w:rsidRPr="00A73597">
        <w:rPr>
          <w:szCs w:val="22"/>
          <w:lang w:val="nl-BE"/>
        </w:rPr>
        <w:t xml:space="preserve">opgave van </w:t>
      </w:r>
      <w:r w:rsidRPr="00A73597">
        <w:rPr>
          <w:szCs w:val="22"/>
          <w:lang w:val="nl-NL" w:eastAsia="nl-NL"/>
        </w:rPr>
        <w:t xml:space="preserve">de </w:t>
      </w:r>
      <w:r w:rsidRPr="00A73597">
        <w:rPr>
          <w:szCs w:val="22"/>
          <w:lang w:val="nl-BE"/>
        </w:rPr>
        <w:t xml:space="preserve">bruto schadelast per </w:t>
      </w:r>
      <w:r w:rsidR="007148A3" w:rsidRPr="00A73597">
        <w:rPr>
          <w:szCs w:val="22"/>
          <w:lang w:val="nl-BE"/>
        </w:rPr>
        <w:t xml:space="preserve">waarborgtype </w:t>
      </w:r>
      <w:r w:rsidRPr="00A73597">
        <w:rPr>
          <w:szCs w:val="22"/>
          <w:lang w:val="nl-BE"/>
        </w:rPr>
        <w:t xml:space="preserve">en per leeftijdsklasse voor de andere dan de </w:t>
      </w:r>
      <w:proofErr w:type="spellStart"/>
      <w:r w:rsidRPr="00A73597">
        <w:rPr>
          <w:szCs w:val="22"/>
          <w:lang w:val="nl-BE"/>
        </w:rPr>
        <w:t>beroepsgebonden</w:t>
      </w:r>
      <w:proofErr w:type="spellEnd"/>
      <w:r w:rsidRPr="00A73597">
        <w:rPr>
          <w:szCs w:val="22"/>
          <w:lang w:val="nl-BE"/>
        </w:rPr>
        <w:t xml:space="preserve"> ziektekostenverzekeringen</w:t>
      </w:r>
      <w:r w:rsidR="00597C92" w:rsidRPr="00A73597">
        <w:rPr>
          <w:szCs w:val="22"/>
          <w:lang w:val="nl-BE"/>
        </w:rPr>
        <w:t>,</w:t>
      </w:r>
      <w:r w:rsidRPr="00A73597">
        <w:rPr>
          <w:szCs w:val="22"/>
          <w:lang w:val="nl-BE"/>
        </w:rPr>
        <w:t xml:space="preserve"> de </w:t>
      </w:r>
      <w:r w:rsidR="007148A3" w:rsidRPr="00A73597">
        <w:rPr>
          <w:szCs w:val="22"/>
          <w:lang w:val="nl-BE"/>
        </w:rPr>
        <w:t xml:space="preserve">jaarlijkse </w:t>
      </w:r>
      <w:r w:rsidRPr="00A73597">
        <w:rPr>
          <w:szCs w:val="22"/>
          <w:lang w:val="nl-BE"/>
        </w:rPr>
        <w:t>opgave van het aantal verzekerden per waarborg</w:t>
      </w:r>
      <w:r w:rsidR="007148A3" w:rsidRPr="00A73597">
        <w:rPr>
          <w:szCs w:val="22"/>
          <w:lang w:val="nl-BE"/>
        </w:rPr>
        <w:t>type</w:t>
      </w:r>
      <w:r w:rsidRPr="00A73597">
        <w:rPr>
          <w:szCs w:val="22"/>
          <w:lang w:val="nl-BE"/>
        </w:rPr>
        <w:t xml:space="preserve"> en per leeftijdsklasse</w:t>
      </w:r>
      <w:r w:rsidR="00597C92" w:rsidRPr="00A73597">
        <w:rPr>
          <w:szCs w:val="22"/>
          <w:lang w:val="nl-BE"/>
        </w:rPr>
        <w:t xml:space="preserve"> alsook het premie-incasso</w:t>
      </w:r>
      <w:r w:rsidRPr="00A73597">
        <w:rPr>
          <w:iCs/>
          <w:szCs w:val="22"/>
          <w:lang w:val="nl-NL" w:eastAsia="nl-NL"/>
        </w:rPr>
        <w:t xml:space="preserve"> </w:t>
      </w:r>
      <w:r w:rsidRPr="00A73597">
        <w:rPr>
          <w:szCs w:val="22"/>
          <w:lang w:val="nl-BE"/>
        </w:rPr>
        <w:t>in alle van materieel belang zijnde opzichten opgesteld werden in</w:t>
      </w:r>
      <w:r w:rsidRPr="00937BED">
        <w:rPr>
          <w:szCs w:val="22"/>
          <w:lang w:val="nl-BE"/>
        </w:rPr>
        <w:t xml:space="preserve"> </w:t>
      </w:r>
      <w:r w:rsidRPr="00A73597">
        <w:rPr>
          <w:szCs w:val="22"/>
          <w:lang w:val="nl-BE"/>
        </w:rPr>
        <w:t xml:space="preserve">overeenstemming </w:t>
      </w:r>
      <w:r w:rsidR="007148A3" w:rsidRPr="00937BED">
        <w:rPr>
          <w:lang w:val="nl"/>
        </w:rPr>
        <w:t>met de op datum van dit verslag van kracht zijnde bepalingen zoals vastgelegd in het koninklijk besluit medische index</w:t>
      </w:r>
      <w:r w:rsidR="00597C92" w:rsidRPr="00937BED">
        <w:rPr>
          <w:lang w:val="nl"/>
        </w:rPr>
        <w:t xml:space="preserve"> en de bijkomende instructies van de FSMA van 4 april 2017</w:t>
      </w:r>
      <w:r w:rsidR="007148A3" w:rsidRPr="00937BED">
        <w:rPr>
          <w:lang w:val="nl"/>
        </w:rPr>
        <w:t>.</w:t>
      </w:r>
    </w:p>
    <w:p w:rsidR="00774528" w:rsidRPr="0032433E" w:rsidRDefault="00774528" w:rsidP="001638C0">
      <w:pPr>
        <w:autoSpaceDE w:val="0"/>
        <w:autoSpaceDN w:val="0"/>
        <w:adjustRightInd w:val="0"/>
        <w:spacing w:line="240" w:lineRule="auto"/>
        <w:ind w:right="-79"/>
        <w:jc w:val="both"/>
        <w:rPr>
          <w:iCs/>
          <w:szCs w:val="22"/>
          <w:lang w:val="nl-NL" w:eastAsia="nl-NL"/>
        </w:rPr>
      </w:pPr>
    </w:p>
    <w:p w:rsidR="00774528" w:rsidRPr="0032433E" w:rsidRDefault="00774528" w:rsidP="001638C0">
      <w:pPr>
        <w:autoSpaceDE w:val="0"/>
        <w:autoSpaceDN w:val="0"/>
        <w:adjustRightInd w:val="0"/>
        <w:spacing w:line="240" w:lineRule="auto"/>
        <w:ind w:right="-79"/>
        <w:jc w:val="both"/>
        <w:rPr>
          <w:rFonts w:eastAsia="ScalaSans-Regular"/>
          <w:szCs w:val="22"/>
          <w:lang w:val="nl-NL" w:eastAsia="nl-NL"/>
        </w:rPr>
      </w:pPr>
      <w:r w:rsidRPr="0032433E">
        <w:rPr>
          <w:rFonts w:eastAsia="ScalaSans-Regular"/>
          <w:szCs w:val="22"/>
          <w:lang w:val="nl-NL" w:eastAsia="nl-NL"/>
        </w:rPr>
        <w:t>Op basis daarvan hebben wij de door ons in de gegeven omstandigheden noodzakelijk geachte werkzaamheden verricht om een conclusie te kunnen formuleren. Onze belangrijkste werkzaamheden bestonden uit:</w:t>
      </w:r>
      <w:r>
        <w:rPr>
          <w:rFonts w:eastAsia="ScalaSans-Regular"/>
          <w:szCs w:val="22"/>
          <w:lang w:val="nl-NL" w:eastAsia="nl-NL"/>
        </w:rPr>
        <w:t xml:space="preserve"> </w:t>
      </w:r>
    </w:p>
    <w:p w:rsidR="00774528" w:rsidRPr="0032433E" w:rsidRDefault="00774528" w:rsidP="001638C0">
      <w:pPr>
        <w:autoSpaceDE w:val="0"/>
        <w:autoSpaceDN w:val="0"/>
        <w:adjustRightInd w:val="0"/>
        <w:spacing w:line="240" w:lineRule="auto"/>
        <w:ind w:right="-79"/>
        <w:jc w:val="both"/>
        <w:rPr>
          <w:rFonts w:eastAsia="ScalaSans-Regular"/>
          <w:szCs w:val="22"/>
          <w:lang w:val="nl-NL" w:eastAsia="nl-NL"/>
        </w:rPr>
      </w:pPr>
    </w:p>
    <w:p w:rsidR="00937BED" w:rsidRPr="00A73597" w:rsidRDefault="00937BED" w:rsidP="00A73597">
      <w:pPr>
        <w:pStyle w:val="ListBullet"/>
        <w:numPr>
          <w:ilvl w:val="0"/>
          <w:numId w:val="0"/>
        </w:numPr>
        <w:ind w:left="340" w:hanging="340"/>
        <w:rPr>
          <w:rFonts w:eastAsia="ScalaSans-Regular"/>
          <w:lang w:val="nl-NL" w:eastAsia="nl-NL"/>
        </w:rPr>
      </w:pPr>
      <w:r w:rsidRPr="00A73597">
        <w:rPr>
          <w:rFonts w:eastAsia="ScalaSans-Regular"/>
          <w:highlight w:val="lightGray"/>
          <w:lang w:val="nl-NL" w:eastAsia="nl-NL"/>
        </w:rPr>
        <w:t>De werkzaamheden kunnen bij wijze van voorbeeld volgende stappen inhouden:</w:t>
      </w:r>
    </w:p>
    <w:p w:rsidR="00937BED" w:rsidRPr="00A73597" w:rsidRDefault="00937BED" w:rsidP="00A73597">
      <w:pPr>
        <w:pStyle w:val="ListBullet"/>
        <w:numPr>
          <w:ilvl w:val="0"/>
          <w:numId w:val="28"/>
        </w:numPr>
        <w:jc w:val="both"/>
        <w:rPr>
          <w:rFonts w:eastAsia="ScalaSans-Regular"/>
          <w:highlight w:val="lightGray"/>
          <w:lang w:val="nl-NL" w:eastAsia="nl-NL"/>
        </w:rPr>
      </w:pPr>
      <w:r w:rsidRPr="00A73597">
        <w:rPr>
          <w:rFonts w:eastAsia="ScalaSans-Regular"/>
          <w:highlight w:val="lightGray"/>
          <w:lang w:val="nl-NL" w:eastAsia="nl-NL"/>
        </w:rPr>
        <w:lastRenderedPageBreak/>
        <w:t xml:space="preserve">bekomen van een beschrijving van de door de </w:t>
      </w:r>
      <w:r w:rsidR="001C1FA8">
        <w:rPr>
          <w:rFonts w:eastAsia="ScalaSans-Regular"/>
          <w:highlight w:val="lightGray"/>
          <w:lang w:val="nl-NL" w:eastAsia="nl-NL"/>
        </w:rPr>
        <w:t>Entiteit</w:t>
      </w:r>
      <w:r w:rsidRPr="00A73597">
        <w:rPr>
          <w:rFonts w:eastAsia="ScalaSans-Regular"/>
          <w:highlight w:val="lightGray"/>
          <w:lang w:val="nl-NL" w:eastAsia="nl-NL"/>
        </w:rPr>
        <w:t xml:space="preserve"> gevolgde werkwijze bij de opstelling van de </w:t>
      </w:r>
      <w:r w:rsidR="001C1FA8">
        <w:rPr>
          <w:rFonts w:eastAsia="ScalaSans-Regular"/>
          <w:highlight w:val="lightGray"/>
          <w:lang w:val="nl-NL" w:eastAsia="nl-NL"/>
        </w:rPr>
        <w:t>jaarlijkse</w:t>
      </w:r>
      <w:r w:rsidRPr="00A73597">
        <w:rPr>
          <w:rFonts w:eastAsia="ScalaSans-Regular"/>
          <w:highlight w:val="lightGray"/>
          <w:lang w:val="nl-NL" w:eastAsia="nl-NL"/>
        </w:rPr>
        <w:t xml:space="preserve"> opgaven met inbegrip van de interne controlemaatregelen die een redelijke mate van zekerheid dienen te verschaffen over de betrouwbaarheid van de opgaven, alsook de documentatie waarop deze beschrijving is gesteund;</w:t>
      </w:r>
    </w:p>
    <w:p w:rsidR="00937BED" w:rsidRPr="00A73597" w:rsidRDefault="00937BED" w:rsidP="00A73597">
      <w:pPr>
        <w:pStyle w:val="ListBullet"/>
        <w:numPr>
          <w:ilvl w:val="0"/>
          <w:numId w:val="28"/>
        </w:numPr>
        <w:jc w:val="both"/>
        <w:rPr>
          <w:rFonts w:eastAsia="ScalaSans-Regular"/>
          <w:highlight w:val="lightGray"/>
          <w:lang w:val="nl-NL" w:eastAsia="nl-NL"/>
        </w:rPr>
      </w:pPr>
      <w:r w:rsidRPr="00A73597">
        <w:rPr>
          <w:rFonts w:eastAsia="ScalaSans-Regular"/>
          <w:highlight w:val="lightGray"/>
          <w:lang w:val="nl-NL" w:eastAsia="nl-NL"/>
        </w:rPr>
        <w:t xml:space="preserve">besprekingen met het oog op het </w:t>
      </w:r>
      <w:proofErr w:type="gramStart"/>
      <w:r w:rsidRPr="00A73597">
        <w:rPr>
          <w:rFonts w:eastAsia="ScalaSans-Regular"/>
          <w:highlight w:val="lightGray"/>
          <w:lang w:val="nl-NL" w:eastAsia="nl-NL"/>
        </w:rPr>
        <w:t>bekomen</w:t>
      </w:r>
      <w:proofErr w:type="gramEnd"/>
      <w:r w:rsidRPr="00A73597">
        <w:rPr>
          <w:rFonts w:eastAsia="ScalaSans-Regular"/>
          <w:highlight w:val="lightGray"/>
          <w:lang w:val="nl-NL" w:eastAsia="nl-NL"/>
        </w:rPr>
        <w:t xml:space="preserve"> van een goed begrip van de procedures aangaande de verzameling van de te rapporteren gegevens en de interne controlemaatregelen met betrekking tot de opstelling van de </w:t>
      </w:r>
      <w:r w:rsidR="001C1FA8">
        <w:rPr>
          <w:rFonts w:eastAsia="ScalaSans-Regular"/>
          <w:highlight w:val="lightGray"/>
          <w:lang w:val="nl-NL" w:eastAsia="nl-NL"/>
        </w:rPr>
        <w:t>jaarlijkse</w:t>
      </w:r>
      <w:r w:rsidRPr="00A73597">
        <w:rPr>
          <w:rFonts w:eastAsia="ScalaSans-Regular"/>
          <w:highlight w:val="lightGray"/>
          <w:lang w:val="nl-NL" w:eastAsia="nl-NL"/>
        </w:rPr>
        <w:t xml:space="preserve"> opgaven;</w:t>
      </w:r>
    </w:p>
    <w:p w:rsidR="00937BED" w:rsidRPr="00A73597" w:rsidRDefault="00937BED" w:rsidP="00A73597">
      <w:pPr>
        <w:pStyle w:val="ListBullet"/>
        <w:numPr>
          <w:ilvl w:val="0"/>
          <w:numId w:val="28"/>
        </w:numPr>
        <w:jc w:val="both"/>
        <w:rPr>
          <w:rFonts w:eastAsia="ScalaSans-Regular"/>
          <w:highlight w:val="lightGray"/>
          <w:lang w:val="nl-NL" w:eastAsia="nl-NL"/>
        </w:rPr>
      </w:pPr>
      <w:r w:rsidRPr="00A73597">
        <w:rPr>
          <w:rFonts w:eastAsia="ScalaSans-Regular"/>
          <w:highlight w:val="lightGray"/>
          <w:lang w:val="nl-NL" w:eastAsia="nl-NL"/>
        </w:rPr>
        <w:t xml:space="preserve">validatie van de programma’s en </w:t>
      </w:r>
      <w:proofErr w:type="spellStart"/>
      <w:r w:rsidRPr="00A73597">
        <w:rPr>
          <w:rFonts w:eastAsia="ScalaSans-Regular"/>
          <w:highlight w:val="lightGray"/>
          <w:lang w:val="nl-NL" w:eastAsia="nl-NL"/>
        </w:rPr>
        <w:t>queries</w:t>
      </w:r>
      <w:proofErr w:type="spellEnd"/>
      <w:r w:rsidRPr="00A73597">
        <w:rPr>
          <w:rFonts w:eastAsia="ScalaSans-Regular"/>
          <w:highlight w:val="lightGray"/>
          <w:lang w:val="nl-NL" w:eastAsia="nl-NL"/>
        </w:rPr>
        <w:t xml:space="preserve"> gebruikt voor de opstelling van de inventarissen die als basis worden gebruikt voor de opstelling van de </w:t>
      </w:r>
      <w:r w:rsidR="001C1FA8">
        <w:rPr>
          <w:rFonts w:eastAsia="ScalaSans-Regular"/>
          <w:highlight w:val="lightGray"/>
          <w:lang w:val="nl-NL" w:eastAsia="nl-NL"/>
        </w:rPr>
        <w:t>jaarlijkse</w:t>
      </w:r>
      <w:r w:rsidRPr="00A73597">
        <w:rPr>
          <w:rFonts w:eastAsia="ScalaSans-Regular"/>
          <w:highlight w:val="lightGray"/>
          <w:lang w:val="nl-NL" w:eastAsia="nl-NL"/>
        </w:rPr>
        <w:t xml:space="preserve"> opgaven;</w:t>
      </w:r>
    </w:p>
    <w:p w:rsidR="00937BED" w:rsidRPr="00A73597" w:rsidRDefault="00937BED" w:rsidP="00A73597">
      <w:pPr>
        <w:pStyle w:val="ListBullet"/>
        <w:numPr>
          <w:ilvl w:val="0"/>
          <w:numId w:val="28"/>
        </w:numPr>
        <w:jc w:val="both"/>
        <w:rPr>
          <w:rFonts w:eastAsia="ScalaSans-Regular"/>
          <w:highlight w:val="lightGray"/>
          <w:lang w:val="nl-NL" w:eastAsia="nl-NL"/>
        </w:rPr>
      </w:pPr>
      <w:r w:rsidRPr="00A73597">
        <w:rPr>
          <w:rFonts w:eastAsia="ScalaSans-Regular"/>
          <w:highlight w:val="lightGray"/>
          <w:lang w:val="nl-NL" w:eastAsia="nl-NL"/>
        </w:rPr>
        <w:t>nagaan van de overeenstemming van de gerapporteerde gegevens met de onderliggende inventarissen;</w:t>
      </w:r>
    </w:p>
    <w:p w:rsidR="00937BED" w:rsidRPr="00A73597" w:rsidRDefault="00937BED" w:rsidP="00A73597">
      <w:pPr>
        <w:pStyle w:val="ListBullet"/>
        <w:numPr>
          <w:ilvl w:val="0"/>
          <w:numId w:val="28"/>
        </w:numPr>
        <w:jc w:val="both"/>
        <w:rPr>
          <w:rFonts w:eastAsia="ScalaSans-Regular"/>
          <w:highlight w:val="lightGray"/>
          <w:lang w:val="nl-NL" w:eastAsia="nl-NL"/>
        </w:rPr>
      </w:pPr>
      <w:r w:rsidRPr="00A73597">
        <w:rPr>
          <w:rFonts w:eastAsia="ScalaSans-Regular"/>
          <w:highlight w:val="lightGray"/>
          <w:lang w:val="nl-NL" w:eastAsia="nl-NL"/>
        </w:rPr>
        <w:t>uitvoeren van redelijkheidtesten op de basisgegevens in de inventarissen en de totaalbedragen in de rapportering;</w:t>
      </w:r>
    </w:p>
    <w:p w:rsidR="00937BED" w:rsidRPr="00A73597" w:rsidRDefault="00937BED" w:rsidP="00A73597">
      <w:pPr>
        <w:pStyle w:val="ListBullet"/>
        <w:numPr>
          <w:ilvl w:val="0"/>
          <w:numId w:val="28"/>
        </w:numPr>
        <w:jc w:val="both"/>
        <w:rPr>
          <w:rFonts w:eastAsia="ScalaSans-Regular"/>
          <w:highlight w:val="lightGray"/>
          <w:lang w:val="nl-NL" w:eastAsia="nl-NL"/>
        </w:rPr>
      </w:pPr>
      <w:proofErr w:type="gramStart"/>
      <w:r w:rsidRPr="00A73597">
        <w:rPr>
          <w:rFonts w:eastAsia="ScalaSans-Regular"/>
          <w:highlight w:val="lightGray"/>
          <w:lang w:val="nl-NL" w:eastAsia="nl-NL"/>
        </w:rPr>
        <w:t>controle op steekproefbasis van de basisgegevens in de inventarissen waarbij bijzondere aandacht werd besteed aan: prestatie- of opnamedatum, factuurbedrag, ingehouden tussenkomst RIZIV, waarborgcategorie en leeftijdsklasse;</w:t>
      </w:r>
      <w:proofErr w:type="gramEnd"/>
    </w:p>
    <w:p w:rsidR="00AC0AFB" w:rsidRPr="00A73597" w:rsidRDefault="00AC0AFB" w:rsidP="00A73597">
      <w:pPr>
        <w:pStyle w:val="ListBullet"/>
        <w:numPr>
          <w:ilvl w:val="0"/>
          <w:numId w:val="28"/>
        </w:numPr>
        <w:jc w:val="both"/>
        <w:rPr>
          <w:rFonts w:eastAsia="ScalaSans-Regular"/>
          <w:highlight w:val="lightGray"/>
          <w:lang w:val="nl-NL" w:eastAsia="nl-NL"/>
        </w:rPr>
      </w:pPr>
      <w:r w:rsidRPr="00A73597">
        <w:rPr>
          <w:rFonts w:eastAsia="ScalaSans-Regular"/>
          <w:highlight w:val="lightGray"/>
          <w:lang w:val="nl-NL" w:eastAsia="nl-NL"/>
        </w:rPr>
        <w:t xml:space="preserve">nagaan van de overeenstemming van het gerapporteerd premie-incasso met het bedrag dat in de jaarlijkse NBB-rapportering 'statistiek van de rechtstreekse verzekeringsverrichtingen Niet-Leven in België' is vermeld onder de rubriek '1.1. uitgegeven premies en wijziging in de nog uit te geven premies' van de </w:t>
      </w:r>
      <w:proofErr w:type="spellStart"/>
      <w:r w:rsidRPr="00A73597">
        <w:rPr>
          <w:rFonts w:eastAsia="ScalaSans-Regular"/>
          <w:highlight w:val="lightGray"/>
          <w:lang w:val="nl-NL" w:eastAsia="nl-NL"/>
        </w:rPr>
        <w:t>deeltak</w:t>
      </w:r>
      <w:proofErr w:type="spellEnd"/>
      <w:r w:rsidRPr="00A73597">
        <w:rPr>
          <w:rFonts w:eastAsia="ScalaSans-Regular"/>
          <w:highlight w:val="lightGray"/>
          <w:lang w:val="nl-NL" w:eastAsia="nl-NL"/>
        </w:rPr>
        <w:t>/productengroep '02.IV. andere individuele contracten van de tak 02 Ziekte’</w:t>
      </w:r>
      <w:r w:rsidR="001C1FA8">
        <w:rPr>
          <w:rFonts w:eastAsia="ScalaSans-Regular"/>
          <w:highlight w:val="lightGray"/>
          <w:lang w:val="nl-NL" w:eastAsia="nl-NL"/>
        </w:rPr>
        <w:t>;</w:t>
      </w:r>
    </w:p>
    <w:p w:rsidR="001C1FA8" w:rsidRPr="005B7313" w:rsidRDefault="001C1FA8" w:rsidP="001C1FA8">
      <w:pPr>
        <w:pStyle w:val="ListBullet"/>
        <w:numPr>
          <w:ilvl w:val="0"/>
          <w:numId w:val="28"/>
        </w:numPr>
        <w:jc w:val="both"/>
        <w:rPr>
          <w:rFonts w:eastAsia="ScalaSans-Regular"/>
          <w:highlight w:val="lightGray"/>
          <w:lang w:val="nl-NL" w:eastAsia="nl-NL"/>
        </w:rPr>
      </w:pPr>
      <w:r w:rsidRPr="005B7313">
        <w:rPr>
          <w:rFonts w:eastAsia="ScalaSans-Regular"/>
          <w:highlight w:val="lightGray"/>
          <w:lang w:val="nl-NL" w:eastAsia="nl-NL"/>
        </w:rPr>
        <w:t>[te vervolledigen op basis van de professionele beoordeling van de bedrijfsrevisor].</w:t>
      </w:r>
    </w:p>
    <w:p w:rsidR="00774528" w:rsidRPr="0032433E" w:rsidRDefault="00774528" w:rsidP="001638C0">
      <w:pPr>
        <w:autoSpaceDE w:val="0"/>
        <w:autoSpaceDN w:val="0"/>
        <w:adjustRightInd w:val="0"/>
        <w:spacing w:line="240" w:lineRule="auto"/>
        <w:ind w:right="-79"/>
        <w:jc w:val="both"/>
        <w:rPr>
          <w:i/>
          <w:iCs/>
          <w:szCs w:val="22"/>
          <w:lang w:val="nl-NL" w:eastAsia="nl-NL"/>
        </w:rPr>
      </w:pPr>
      <w:r w:rsidRPr="0032433E">
        <w:rPr>
          <w:iCs/>
          <w:szCs w:val="22"/>
          <w:lang w:val="nl-NL" w:eastAsia="nl-NL"/>
        </w:rPr>
        <w:t xml:space="preserve">Wij zijn van mening dat </w:t>
      </w:r>
      <w:r>
        <w:rPr>
          <w:iCs/>
          <w:szCs w:val="22"/>
          <w:lang w:val="nl-NL" w:eastAsia="nl-NL"/>
        </w:rPr>
        <w:t xml:space="preserve">deze werkzaamheden een redelijke basis vormen </w:t>
      </w:r>
      <w:r w:rsidRPr="0032433E">
        <w:rPr>
          <w:iCs/>
          <w:szCs w:val="22"/>
          <w:lang w:val="nl-NL" w:eastAsia="nl-NL"/>
        </w:rPr>
        <w:t xml:space="preserve">voor onze conclusie. </w:t>
      </w:r>
    </w:p>
    <w:p w:rsidR="00774528" w:rsidRPr="0032433E" w:rsidRDefault="00774528" w:rsidP="001638C0">
      <w:pPr>
        <w:ind w:right="-79"/>
        <w:jc w:val="both"/>
        <w:rPr>
          <w:b/>
          <w:szCs w:val="22"/>
          <w:lang w:val="nl-BE"/>
        </w:rPr>
      </w:pPr>
    </w:p>
    <w:p w:rsidR="00774528" w:rsidRPr="0032433E" w:rsidRDefault="00774528" w:rsidP="001638C0">
      <w:pPr>
        <w:ind w:right="-79"/>
        <w:jc w:val="both"/>
        <w:rPr>
          <w:b/>
          <w:szCs w:val="22"/>
          <w:lang w:val="nl-BE"/>
        </w:rPr>
      </w:pPr>
      <w:r w:rsidRPr="0032433E">
        <w:rPr>
          <w:b/>
          <w:szCs w:val="22"/>
          <w:lang w:val="nl-BE"/>
        </w:rPr>
        <w:t>Conclusie</w:t>
      </w:r>
      <w:r w:rsidR="001C1FA8">
        <w:rPr>
          <w:rStyle w:val="FootnoteReference"/>
          <w:b/>
          <w:szCs w:val="22"/>
          <w:lang w:val="nl-BE"/>
        </w:rPr>
        <w:footnoteReference w:id="1"/>
      </w:r>
    </w:p>
    <w:p w:rsidR="00774528" w:rsidRPr="0032433E" w:rsidRDefault="00774528" w:rsidP="001638C0">
      <w:pPr>
        <w:ind w:right="-79"/>
        <w:jc w:val="both"/>
        <w:rPr>
          <w:b/>
          <w:szCs w:val="22"/>
          <w:lang w:val="nl-BE"/>
        </w:rPr>
      </w:pPr>
    </w:p>
    <w:p w:rsidR="00774528" w:rsidRPr="0032433E" w:rsidRDefault="00774528" w:rsidP="001638C0">
      <w:pPr>
        <w:ind w:right="-79"/>
        <w:jc w:val="both"/>
        <w:rPr>
          <w:szCs w:val="22"/>
          <w:lang w:val="nl-BE"/>
        </w:rPr>
      </w:pPr>
      <w:r w:rsidRPr="0032433E">
        <w:rPr>
          <w:szCs w:val="22"/>
          <w:lang w:val="nl-NL" w:eastAsia="nl-NL"/>
        </w:rPr>
        <w:t xml:space="preserve">Op </w:t>
      </w:r>
      <w:r w:rsidR="00B72757">
        <w:rPr>
          <w:szCs w:val="22"/>
          <w:lang w:val="nl-NL" w:eastAsia="nl-NL"/>
        </w:rPr>
        <w:t>basis van de uitgevoerde</w:t>
      </w:r>
      <w:r w:rsidRPr="0032433E">
        <w:rPr>
          <w:szCs w:val="22"/>
          <w:lang w:val="nl-NL" w:eastAsia="nl-NL"/>
        </w:rPr>
        <w:t xml:space="preserve"> werkzaamheden </w:t>
      </w:r>
      <w:r>
        <w:rPr>
          <w:szCs w:val="22"/>
          <w:lang w:val="nl-NL" w:eastAsia="nl-NL"/>
        </w:rPr>
        <w:t xml:space="preserve">zijn wij van oordeel </w:t>
      </w:r>
      <w:r w:rsidRPr="0032433E">
        <w:rPr>
          <w:szCs w:val="22"/>
          <w:lang w:val="nl-NL" w:eastAsia="nl-NL"/>
        </w:rPr>
        <w:t>dat de</w:t>
      </w:r>
      <w:r>
        <w:rPr>
          <w:szCs w:val="22"/>
          <w:lang w:val="nl-NL" w:eastAsia="nl-NL"/>
        </w:rPr>
        <w:t xml:space="preserve"> </w:t>
      </w:r>
      <w:r w:rsidR="00B72757">
        <w:rPr>
          <w:szCs w:val="22"/>
          <w:lang w:val="nl-NL" w:eastAsia="nl-NL"/>
        </w:rPr>
        <w:t xml:space="preserve">jaarlijkse </w:t>
      </w:r>
      <w:r>
        <w:rPr>
          <w:szCs w:val="22"/>
          <w:lang w:val="nl-NL" w:eastAsia="nl-NL"/>
        </w:rPr>
        <w:t xml:space="preserve">opgave van de </w:t>
      </w:r>
      <w:r w:rsidRPr="0032433E">
        <w:rPr>
          <w:szCs w:val="22"/>
          <w:lang w:val="nl-BE"/>
        </w:rPr>
        <w:t xml:space="preserve">bruto schadelast per </w:t>
      </w:r>
      <w:r w:rsidR="00B72757">
        <w:rPr>
          <w:szCs w:val="22"/>
          <w:lang w:val="nl-BE"/>
        </w:rPr>
        <w:t>waarborg</w:t>
      </w:r>
      <w:r w:rsidR="00B72757" w:rsidRPr="0032433E">
        <w:rPr>
          <w:szCs w:val="22"/>
          <w:lang w:val="nl-BE"/>
        </w:rPr>
        <w:t xml:space="preserve">type </w:t>
      </w:r>
      <w:r w:rsidRPr="0032433E">
        <w:rPr>
          <w:szCs w:val="22"/>
          <w:lang w:val="nl-BE"/>
        </w:rPr>
        <w:t xml:space="preserve">en per leeftijdsklasse voor de andere dan de </w:t>
      </w:r>
      <w:proofErr w:type="spellStart"/>
      <w:r w:rsidRPr="0032433E">
        <w:rPr>
          <w:szCs w:val="22"/>
          <w:lang w:val="nl-BE"/>
        </w:rPr>
        <w:t>beroepsgebonden</w:t>
      </w:r>
      <w:proofErr w:type="spellEnd"/>
      <w:r w:rsidRPr="0032433E">
        <w:rPr>
          <w:szCs w:val="22"/>
          <w:lang w:val="nl-BE"/>
        </w:rPr>
        <w:t xml:space="preserve"> ziektekostenverzekeringen </w:t>
      </w:r>
      <w:r w:rsidR="00597C92">
        <w:rPr>
          <w:szCs w:val="22"/>
          <w:lang w:val="nl-BE"/>
        </w:rPr>
        <w:t xml:space="preserve">en </w:t>
      </w:r>
      <w:r>
        <w:rPr>
          <w:szCs w:val="22"/>
          <w:lang w:val="nl-BE"/>
        </w:rPr>
        <w:t xml:space="preserve">de </w:t>
      </w:r>
      <w:r w:rsidR="00A81E14">
        <w:rPr>
          <w:szCs w:val="22"/>
          <w:lang w:val="nl-BE"/>
        </w:rPr>
        <w:t xml:space="preserve">jaarlijkse </w:t>
      </w:r>
      <w:r>
        <w:rPr>
          <w:szCs w:val="22"/>
          <w:lang w:val="nl-BE"/>
        </w:rPr>
        <w:t>opgave van het aantal verzekerden per waarborg</w:t>
      </w:r>
      <w:r w:rsidR="00A81E14">
        <w:rPr>
          <w:szCs w:val="22"/>
          <w:lang w:val="nl-BE"/>
        </w:rPr>
        <w:t>type</w:t>
      </w:r>
      <w:r>
        <w:rPr>
          <w:szCs w:val="22"/>
          <w:lang w:val="nl-BE"/>
        </w:rPr>
        <w:t xml:space="preserve"> en per leeftijdsklasse </w:t>
      </w:r>
      <w:r w:rsidR="00937BED">
        <w:rPr>
          <w:szCs w:val="22"/>
          <w:lang w:val="nl-BE"/>
        </w:rPr>
        <w:t>voor de periode van 1 oktober 201X tot 30 september 201X</w:t>
      </w:r>
      <w:r w:rsidR="00606761">
        <w:rPr>
          <w:szCs w:val="22"/>
          <w:lang w:val="nl-BE"/>
        </w:rPr>
        <w:t>+1</w:t>
      </w:r>
      <w:r w:rsidR="00937BED">
        <w:rPr>
          <w:szCs w:val="22"/>
          <w:lang w:val="nl-BE"/>
        </w:rPr>
        <w:t xml:space="preserve"> alsook het premie-incasso met betrekking tot het kalenderjaar 201X</w:t>
      </w:r>
      <w:r w:rsidR="00606761">
        <w:rPr>
          <w:szCs w:val="22"/>
          <w:lang w:val="nl-BE"/>
        </w:rPr>
        <w:t>+1</w:t>
      </w:r>
      <w:r w:rsidR="00937BED">
        <w:rPr>
          <w:szCs w:val="22"/>
          <w:lang w:val="nl-BE"/>
        </w:rPr>
        <w:t xml:space="preserve"> </w:t>
      </w:r>
      <w:r w:rsidRPr="0032433E">
        <w:rPr>
          <w:szCs w:val="22"/>
          <w:lang w:val="nl-BE"/>
        </w:rPr>
        <w:t>in alle van materieel belang zijnde</w:t>
      </w:r>
      <w:r>
        <w:rPr>
          <w:szCs w:val="22"/>
          <w:lang w:val="nl-BE"/>
        </w:rPr>
        <w:t xml:space="preserve"> opzichten opgesteld werden</w:t>
      </w:r>
      <w:r w:rsidRPr="0032433E">
        <w:rPr>
          <w:szCs w:val="22"/>
          <w:lang w:val="nl-BE"/>
        </w:rPr>
        <w:t xml:space="preserve"> in overeenstemming </w:t>
      </w:r>
      <w:r w:rsidR="00A81E14" w:rsidRPr="00DD17B6">
        <w:rPr>
          <w:lang w:val="nl"/>
        </w:rPr>
        <w:t xml:space="preserve">met de op datum van dit verslag van kracht zijnde bepalingen zoals vastgelegd in het koninklijk besluit medische </w:t>
      </w:r>
      <w:r w:rsidR="00A81E14" w:rsidRPr="000D4DA0">
        <w:rPr>
          <w:lang w:val="nl"/>
        </w:rPr>
        <w:t xml:space="preserve">index </w:t>
      </w:r>
      <w:r w:rsidR="00A81E14" w:rsidRPr="000D4DA0">
        <w:rPr>
          <w:lang w:val="nl-BE"/>
        </w:rPr>
        <w:t>en in de bijkomende instructies van de FSMA van 4 april 2017</w:t>
      </w:r>
      <w:r w:rsidRPr="0032433E">
        <w:rPr>
          <w:szCs w:val="22"/>
          <w:lang w:val="nl-BE"/>
        </w:rPr>
        <w:t>.</w:t>
      </w:r>
    </w:p>
    <w:p w:rsidR="00774528" w:rsidRPr="0032433E" w:rsidRDefault="00774528" w:rsidP="001638C0">
      <w:pPr>
        <w:ind w:right="-79"/>
        <w:jc w:val="both"/>
        <w:rPr>
          <w:szCs w:val="22"/>
          <w:lang w:val="nl-BE"/>
        </w:rPr>
      </w:pPr>
    </w:p>
    <w:p w:rsidR="00AC0AFB" w:rsidRPr="00DD17B6" w:rsidRDefault="00AC0AFB" w:rsidP="00A73597">
      <w:pPr>
        <w:pStyle w:val="Heading1"/>
        <w:ind w:left="964"/>
        <w:jc w:val="both"/>
        <w:rPr>
          <w:lang w:val="nl"/>
        </w:rPr>
      </w:pPr>
      <w:r>
        <w:rPr>
          <w:b w:val="0"/>
          <w:szCs w:val="22"/>
        </w:rPr>
        <w:br w:type="page"/>
      </w:r>
      <w:r w:rsidRPr="00DD17B6">
        <w:rPr>
          <w:lang w:val="nl"/>
        </w:rPr>
        <w:lastRenderedPageBreak/>
        <w:t>Overige aangelegenhe</w:t>
      </w:r>
      <w:r w:rsidR="001D6AFC">
        <w:rPr>
          <w:lang w:val="nl"/>
        </w:rPr>
        <w:t>i</w:t>
      </w:r>
      <w:r w:rsidRPr="00DD17B6">
        <w:rPr>
          <w:lang w:val="nl"/>
        </w:rPr>
        <w:t>d</w:t>
      </w:r>
    </w:p>
    <w:p w:rsidR="00AC0AFB" w:rsidRPr="00CC4BDD" w:rsidRDefault="00AC0AFB" w:rsidP="00AC0AFB">
      <w:pPr>
        <w:pStyle w:val="BodyText"/>
        <w:jc w:val="both"/>
        <w:rPr>
          <w:lang w:val="nl"/>
        </w:rPr>
      </w:pPr>
      <w:r w:rsidRPr="00CC4BDD">
        <w:rPr>
          <w:lang w:val="nl"/>
        </w:rPr>
        <w:t xml:space="preserve">Conform </w:t>
      </w:r>
      <w:r w:rsidRPr="00CC4BDD">
        <w:rPr>
          <w:lang w:val="nl-BE"/>
        </w:rPr>
        <w:t xml:space="preserve">de bijkomende instructies van de FSMA van 4 april 2017 en </w:t>
      </w:r>
      <w:r w:rsidRPr="00CC4BDD">
        <w:rPr>
          <w:lang w:val="nl"/>
        </w:rPr>
        <w:t>de memorie van toelichting bij het ontwerp van de aanpassing van de wet dat op 23 maart 2017 door de Kamer werd goedgekeurd, heeft de</w:t>
      </w:r>
      <w:r w:rsidR="00937BED">
        <w:rPr>
          <w:lang w:val="nl"/>
        </w:rPr>
        <w:t xml:space="preserve"> Entiteit</w:t>
      </w:r>
      <w:r w:rsidRPr="00CC4BDD">
        <w:rPr>
          <w:lang w:val="nl"/>
        </w:rPr>
        <w:t xml:space="preserve"> van de keuze gebruik gemaakt om gegevens over te maken op basis van de betaalde facturen. </w:t>
      </w:r>
    </w:p>
    <w:p w:rsidR="00774528" w:rsidRPr="0032433E" w:rsidRDefault="00A81E14" w:rsidP="00D36644">
      <w:pPr>
        <w:ind w:right="-79"/>
        <w:rPr>
          <w:b/>
          <w:szCs w:val="22"/>
          <w:lang w:val="nl-BE"/>
        </w:rPr>
      </w:pPr>
      <w:r>
        <w:rPr>
          <w:b/>
          <w:szCs w:val="22"/>
          <w:lang w:val="nl-BE"/>
        </w:rPr>
        <w:t>Beperkingen inzake gebruik en v</w:t>
      </w:r>
      <w:r w:rsidR="00774528" w:rsidRPr="0032433E">
        <w:rPr>
          <w:b/>
          <w:szCs w:val="22"/>
          <w:lang w:val="nl-BE"/>
        </w:rPr>
        <w:t xml:space="preserve">erspreiding van </w:t>
      </w:r>
      <w:r>
        <w:rPr>
          <w:b/>
          <w:szCs w:val="22"/>
          <w:lang w:val="nl-BE"/>
        </w:rPr>
        <w:t>voorliggende rapportering</w:t>
      </w:r>
    </w:p>
    <w:p w:rsidR="00774528" w:rsidRPr="0032433E" w:rsidRDefault="00774528" w:rsidP="001638C0">
      <w:pPr>
        <w:ind w:right="-79"/>
        <w:jc w:val="both"/>
        <w:rPr>
          <w:szCs w:val="22"/>
          <w:lang w:val="nl-BE"/>
        </w:rPr>
      </w:pPr>
    </w:p>
    <w:p w:rsidR="00774528" w:rsidRPr="0032433E" w:rsidRDefault="00774528" w:rsidP="008D0A0B">
      <w:pPr>
        <w:ind w:right="41"/>
        <w:jc w:val="both"/>
        <w:rPr>
          <w:szCs w:val="22"/>
          <w:lang w:val="nl-BE"/>
        </w:rPr>
      </w:pPr>
      <w:r>
        <w:rPr>
          <w:szCs w:val="22"/>
          <w:lang w:val="nl-BE"/>
        </w:rPr>
        <w:t>O</w:t>
      </w:r>
      <w:r w:rsidRPr="0032433E">
        <w:rPr>
          <w:szCs w:val="22"/>
          <w:lang w:val="nl-BE"/>
        </w:rPr>
        <w:t>ns</w:t>
      </w:r>
      <w:r>
        <w:rPr>
          <w:szCs w:val="22"/>
          <w:lang w:val="nl-BE"/>
        </w:rPr>
        <w:t xml:space="preserve"> verslag</w:t>
      </w:r>
      <w:r w:rsidRPr="0032433E">
        <w:rPr>
          <w:szCs w:val="22"/>
          <w:lang w:val="nl-BE"/>
        </w:rPr>
        <w:t xml:space="preserve"> </w:t>
      </w:r>
      <w:r>
        <w:rPr>
          <w:szCs w:val="22"/>
          <w:lang w:val="nl-BE"/>
        </w:rPr>
        <w:t xml:space="preserve">is </w:t>
      </w:r>
      <w:r w:rsidRPr="0032433E">
        <w:rPr>
          <w:szCs w:val="22"/>
          <w:lang w:val="nl-BE"/>
        </w:rPr>
        <w:t xml:space="preserve">uitsluitend bedoeld voor de </w:t>
      </w:r>
      <w:r w:rsidR="00937BED">
        <w:rPr>
          <w:szCs w:val="22"/>
          <w:lang w:val="nl-BE"/>
        </w:rPr>
        <w:t>FSMA</w:t>
      </w:r>
      <w:r w:rsidR="00937BED" w:rsidRPr="0032433E">
        <w:rPr>
          <w:szCs w:val="22"/>
          <w:lang w:val="nl-BE"/>
        </w:rPr>
        <w:t xml:space="preserve"> </w:t>
      </w:r>
      <w:r w:rsidRPr="0032433E">
        <w:rPr>
          <w:szCs w:val="22"/>
          <w:lang w:val="nl-BE"/>
        </w:rPr>
        <w:t xml:space="preserve">en </w:t>
      </w:r>
      <w:r>
        <w:rPr>
          <w:szCs w:val="22"/>
          <w:lang w:val="nl-BE"/>
        </w:rPr>
        <w:t xml:space="preserve">kan </w:t>
      </w:r>
      <w:r w:rsidRPr="0032433E">
        <w:rPr>
          <w:szCs w:val="22"/>
          <w:lang w:val="nl-BE"/>
        </w:rPr>
        <w:t xml:space="preserve">derhalve niet voor andere doeleinden worden gebruikt. Een kopie van de rapportering wordt overgemaakt aan </w:t>
      </w:r>
      <w:r w:rsidR="00A81E14">
        <w:rPr>
          <w:i/>
          <w:szCs w:val="22"/>
          <w:lang w:val="nl-BE"/>
        </w:rPr>
        <w:t>het directiecomité</w:t>
      </w:r>
      <w:r w:rsidRPr="0032433E">
        <w:rPr>
          <w:i/>
          <w:szCs w:val="22"/>
          <w:lang w:val="nl-BE"/>
        </w:rPr>
        <w:t>.</w:t>
      </w:r>
      <w:r w:rsidRPr="0032433E">
        <w:rPr>
          <w:szCs w:val="22"/>
          <w:lang w:val="nl-BE"/>
        </w:rPr>
        <w:t xml:space="preserve"> Wij wijzen erop dat deze rapportage niet (geheel of gedeeltelijk) aan derden mag worden verspreid zonder onze uitdrukkelijke voorafgaande toestemming.</w:t>
      </w:r>
    </w:p>
    <w:p w:rsidR="00774528" w:rsidRPr="0032433E" w:rsidRDefault="00774528" w:rsidP="001638C0">
      <w:pPr>
        <w:ind w:right="-79"/>
        <w:jc w:val="both"/>
        <w:rPr>
          <w:szCs w:val="22"/>
          <w:lang w:val="nl-BE"/>
        </w:rPr>
      </w:pPr>
    </w:p>
    <w:p w:rsidR="00774528" w:rsidRPr="0032433E" w:rsidRDefault="00774528" w:rsidP="001638C0">
      <w:pPr>
        <w:ind w:right="-79"/>
        <w:jc w:val="both"/>
        <w:rPr>
          <w:szCs w:val="22"/>
          <w:lang w:val="nl-BE"/>
        </w:rPr>
      </w:pPr>
    </w:p>
    <w:p w:rsidR="00774528" w:rsidRPr="0032433E" w:rsidRDefault="00774528" w:rsidP="001638C0">
      <w:pPr>
        <w:ind w:right="-79"/>
        <w:jc w:val="both"/>
        <w:rPr>
          <w:szCs w:val="22"/>
          <w:lang w:val="nl-BE"/>
        </w:rPr>
      </w:pPr>
    </w:p>
    <w:p w:rsidR="00774528" w:rsidRPr="0032433E" w:rsidRDefault="00774528" w:rsidP="001638C0">
      <w:pPr>
        <w:ind w:right="-79"/>
        <w:jc w:val="both"/>
        <w:rPr>
          <w:i/>
          <w:szCs w:val="22"/>
          <w:lang w:val="nl-BE"/>
        </w:rPr>
      </w:pPr>
      <w:r w:rsidRPr="0032433E">
        <w:rPr>
          <w:i/>
          <w:szCs w:val="22"/>
          <w:lang w:val="nl-BE"/>
        </w:rPr>
        <w:t>XXX</w:t>
      </w:r>
    </w:p>
    <w:p w:rsidR="00774528" w:rsidRPr="0032433E" w:rsidRDefault="00774528" w:rsidP="001638C0">
      <w:pPr>
        <w:ind w:right="-79"/>
        <w:jc w:val="both"/>
        <w:rPr>
          <w:i/>
          <w:szCs w:val="22"/>
          <w:lang w:val="nl-BE"/>
        </w:rPr>
      </w:pPr>
      <w:r w:rsidRPr="0032433E">
        <w:rPr>
          <w:i/>
          <w:szCs w:val="22"/>
          <w:lang w:val="nl-BE"/>
        </w:rPr>
        <w:t>Commissaris</w:t>
      </w:r>
    </w:p>
    <w:p w:rsidR="00774528" w:rsidRPr="0032433E" w:rsidRDefault="00774528" w:rsidP="001638C0">
      <w:pPr>
        <w:ind w:right="-79"/>
        <w:jc w:val="both"/>
        <w:rPr>
          <w:i/>
          <w:szCs w:val="22"/>
          <w:lang w:val="nl-BE"/>
        </w:rPr>
      </w:pPr>
      <w:r w:rsidRPr="0032433E">
        <w:rPr>
          <w:i/>
          <w:szCs w:val="22"/>
          <w:lang w:val="nl-BE"/>
        </w:rPr>
        <w:t>Vertegenwoordigd door</w:t>
      </w:r>
    </w:p>
    <w:p w:rsidR="00774528" w:rsidRPr="0032433E" w:rsidRDefault="00774528" w:rsidP="001638C0">
      <w:pPr>
        <w:ind w:right="-79"/>
        <w:jc w:val="both"/>
        <w:rPr>
          <w:i/>
          <w:szCs w:val="22"/>
          <w:lang w:val="nl-BE"/>
        </w:rPr>
      </w:pPr>
    </w:p>
    <w:p w:rsidR="00774528" w:rsidRPr="0032433E" w:rsidRDefault="00774528" w:rsidP="001638C0">
      <w:pPr>
        <w:ind w:right="-79"/>
        <w:jc w:val="both"/>
        <w:rPr>
          <w:i/>
          <w:szCs w:val="22"/>
          <w:lang w:val="nl-BE"/>
        </w:rPr>
      </w:pPr>
    </w:p>
    <w:p w:rsidR="00774528" w:rsidRPr="0032433E" w:rsidRDefault="00774528" w:rsidP="001638C0">
      <w:pPr>
        <w:ind w:right="-79"/>
        <w:jc w:val="both"/>
        <w:rPr>
          <w:i/>
          <w:szCs w:val="22"/>
          <w:lang w:val="nl-BE"/>
        </w:rPr>
      </w:pPr>
    </w:p>
    <w:p w:rsidR="00774528" w:rsidRPr="0032433E" w:rsidRDefault="00774528" w:rsidP="001638C0">
      <w:pPr>
        <w:ind w:right="-79"/>
        <w:jc w:val="both"/>
        <w:rPr>
          <w:i/>
          <w:szCs w:val="22"/>
          <w:lang w:val="nl-BE"/>
        </w:rPr>
      </w:pPr>
      <w:r w:rsidRPr="0032433E">
        <w:rPr>
          <w:i/>
          <w:szCs w:val="22"/>
          <w:lang w:val="nl-BE"/>
        </w:rPr>
        <w:t>YYY</w:t>
      </w:r>
    </w:p>
    <w:p w:rsidR="00774528" w:rsidRPr="0032433E" w:rsidRDefault="00774528" w:rsidP="001638C0">
      <w:pPr>
        <w:ind w:right="-79"/>
        <w:jc w:val="both"/>
        <w:rPr>
          <w:i/>
          <w:szCs w:val="22"/>
          <w:lang w:val="nl-BE"/>
        </w:rPr>
      </w:pPr>
      <w:r w:rsidRPr="0032433E">
        <w:rPr>
          <w:i/>
          <w:szCs w:val="22"/>
          <w:lang w:val="nl-BE"/>
        </w:rPr>
        <w:t>Bedrijfsrevisor</w:t>
      </w:r>
    </w:p>
    <w:p w:rsidR="00774528" w:rsidRPr="0032433E" w:rsidRDefault="00774528" w:rsidP="001638C0">
      <w:pPr>
        <w:ind w:right="-79"/>
        <w:jc w:val="both"/>
        <w:rPr>
          <w:i/>
          <w:szCs w:val="22"/>
          <w:lang w:val="nl-BE"/>
        </w:rPr>
      </w:pPr>
    </w:p>
    <w:p w:rsidR="00774528" w:rsidRPr="0032433E" w:rsidRDefault="00774528" w:rsidP="001638C0">
      <w:pPr>
        <w:ind w:right="-79"/>
        <w:jc w:val="both"/>
        <w:rPr>
          <w:i/>
          <w:szCs w:val="22"/>
          <w:lang w:val="nl-BE"/>
        </w:rPr>
      </w:pPr>
    </w:p>
    <w:p w:rsidR="00774528" w:rsidRPr="0032433E" w:rsidRDefault="00774528" w:rsidP="001638C0">
      <w:pPr>
        <w:ind w:right="-79"/>
        <w:jc w:val="both"/>
        <w:rPr>
          <w:i/>
          <w:szCs w:val="22"/>
          <w:lang w:val="nl-BE"/>
        </w:rPr>
      </w:pPr>
    </w:p>
    <w:p w:rsidR="00774528" w:rsidRPr="0032433E" w:rsidRDefault="00774528" w:rsidP="001638C0">
      <w:pPr>
        <w:ind w:right="-79"/>
        <w:jc w:val="both"/>
        <w:rPr>
          <w:i/>
          <w:szCs w:val="22"/>
          <w:lang w:val="nl-BE"/>
        </w:rPr>
      </w:pPr>
      <w:r w:rsidRPr="0032433E">
        <w:rPr>
          <w:i/>
          <w:szCs w:val="22"/>
          <w:lang w:val="nl-BE"/>
        </w:rPr>
        <w:t>Plaats, datum</w:t>
      </w:r>
    </w:p>
    <w:p w:rsidR="00774528" w:rsidRDefault="00774528" w:rsidP="001638C0">
      <w:pPr>
        <w:ind w:right="-79"/>
        <w:jc w:val="both"/>
        <w:rPr>
          <w:i/>
          <w:szCs w:val="22"/>
          <w:lang w:val="nl-BE"/>
        </w:rPr>
      </w:pPr>
    </w:p>
    <w:p w:rsidR="00774528" w:rsidRPr="004D6389" w:rsidRDefault="00774528" w:rsidP="001638C0">
      <w:pPr>
        <w:ind w:right="-79"/>
        <w:jc w:val="both"/>
        <w:rPr>
          <w:b/>
          <w:szCs w:val="22"/>
          <w:lang w:val="nl-BE"/>
        </w:rPr>
      </w:pPr>
      <w:bookmarkStart w:id="0" w:name="_GoBack"/>
      <w:bookmarkEnd w:id="0"/>
    </w:p>
    <w:sectPr w:rsidR="00774528" w:rsidRPr="004D6389"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E9" w:rsidRDefault="000B11E9">
      <w:r>
        <w:separator/>
      </w:r>
    </w:p>
  </w:endnote>
  <w:endnote w:type="continuationSeparator" w:id="0">
    <w:p w:rsidR="000B11E9" w:rsidRDefault="000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28" w:rsidRDefault="00774528"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528" w:rsidRDefault="00774528"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28" w:rsidRDefault="00774528"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8F7">
      <w:rPr>
        <w:rStyle w:val="PageNumber"/>
        <w:noProof/>
      </w:rPr>
      <w:t>3</w:t>
    </w:r>
    <w:r>
      <w:rPr>
        <w:rStyle w:val="PageNumber"/>
      </w:rPr>
      <w:fldChar w:fldCharType="end"/>
    </w:r>
  </w:p>
  <w:p w:rsidR="00774528" w:rsidRDefault="00774528"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E9" w:rsidRDefault="000B11E9">
      <w:r>
        <w:separator/>
      </w:r>
    </w:p>
  </w:footnote>
  <w:footnote w:type="continuationSeparator" w:id="0">
    <w:p w:rsidR="000B11E9" w:rsidRDefault="000B11E9">
      <w:r>
        <w:continuationSeparator/>
      </w:r>
    </w:p>
  </w:footnote>
  <w:footnote w:id="1">
    <w:p w:rsidR="001C1FA8" w:rsidRDefault="001C1FA8" w:rsidP="001C1FA8">
      <w:pPr>
        <w:pStyle w:val="EndnoteText"/>
        <w:spacing w:line="240" w:lineRule="auto"/>
        <w:jc w:val="both"/>
        <w:rPr>
          <w:lang w:val="nl-BE"/>
        </w:rPr>
      </w:pPr>
      <w:r>
        <w:rPr>
          <w:rStyle w:val="FootnoteReference"/>
        </w:rPr>
        <w:footnoteRef/>
      </w:r>
      <w:r w:rsidRPr="00A73597">
        <w:rPr>
          <w:lang w:val="nl-BE"/>
        </w:rPr>
        <w:t xml:space="preserve"> </w:t>
      </w:r>
      <w:r>
        <w:rPr>
          <w:lang w:val="nl-BE"/>
        </w:rPr>
        <w:t>De conclusie moet worden aangepast indien er aanwijzingen zijn dat bij wijze van voorbeeld:</w:t>
      </w:r>
    </w:p>
    <w:p w:rsidR="001C1FA8" w:rsidRDefault="001C1FA8" w:rsidP="00A73597">
      <w:pPr>
        <w:pStyle w:val="EndnoteText"/>
        <w:numPr>
          <w:ilvl w:val="0"/>
          <w:numId w:val="26"/>
        </w:numPr>
        <w:tabs>
          <w:tab w:val="clear" w:pos="720"/>
          <w:tab w:val="num" w:pos="360"/>
        </w:tabs>
        <w:spacing w:line="240" w:lineRule="auto"/>
        <w:ind w:left="360"/>
        <w:jc w:val="both"/>
        <w:rPr>
          <w:lang w:val="nl-NL"/>
        </w:rPr>
      </w:pPr>
      <w:r w:rsidRPr="00B919B1">
        <w:rPr>
          <w:lang w:val="nl-NL"/>
        </w:rPr>
        <w:t xml:space="preserve">de gerapporteerde gegevens niet werden opgesteld in overeenstemming met de bepalingen van het besluit </w:t>
      </w:r>
      <w:r>
        <w:rPr>
          <w:lang w:val="nl-NL"/>
        </w:rPr>
        <w:t>medische index</w:t>
      </w:r>
      <w:r w:rsidRPr="00B919B1">
        <w:rPr>
          <w:lang w:val="nl-NL"/>
        </w:rPr>
        <w:t xml:space="preserve"> en/of </w:t>
      </w:r>
      <w:r>
        <w:rPr>
          <w:lang w:val="nl-NL"/>
        </w:rPr>
        <w:t>de bijkomende instructies van de FSMA van 4 april 2017</w:t>
      </w:r>
      <w:r w:rsidRPr="00B919B1">
        <w:rPr>
          <w:lang w:val="nl-NL"/>
        </w:rPr>
        <w:t>;</w:t>
      </w:r>
    </w:p>
    <w:p w:rsidR="001C1FA8" w:rsidRPr="00A73597" w:rsidRDefault="001C1FA8" w:rsidP="00A73597">
      <w:pPr>
        <w:pStyle w:val="EndnoteText"/>
        <w:numPr>
          <w:ilvl w:val="0"/>
          <w:numId w:val="26"/>
        </w:numPr>
        <w:tabs>
          <w:tab w:val="clear" w:pos="720"/>
          <w:tab w:val="num" w:pos="360"/>
        </w:tabs>
        <w:spacing w:line="240" w:lineRule="auto"/>
        <w:ind w:left="360"/>
        <w:jc w:val="both"/>
        <w:rPr>
          <w:lang w:val="nl-NL"/>
        </w:rPr>
      </w:pPr>
      <w:r w:rsidRPr="00B456B9">
        <w:rPr>
          <w:lang w:val="nl-NL"/>
        </w:rPr>
        <w:t>het verslaggevingsproces ernstige tekortkomingen vertoont waardoor de betrouwbaarheid van de rapportering niet kan worden gewaarborgd (tenzij het via alternatieve methoden toch mogelijk is een redelijke mate van zekerheid tot uitdrukking te brengen inzake de betrouwbaarheid van de gerapporteerde gegevens).</w:t>
      </w:r>
    </w:p>
    <w:p w:rsidR="001C1FA8" w:rsidRPr="00A73597" w:rsidRDefault="001C1FA8">
      <w:pPr>
        <w:pStyle w:val="FootnoteText"/>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28" w:rsidRPr="004768E4" w:rsidRDefault="00774528" w:rsidP="004768E4">
    <w:pPr>
      <w:pStyle w:val="Header"/>
      <w:jc w:val="left"/>
      <w:rPr>
        <w:b/>
        <w:i w:val="0"/>
        <w:lang w:val="nl-NL"/>
      </w:rPr>
    </w:pPr>
    <w:r>
      <w:rPr>
        <w:b/>
        <w:i w:val="0"/>
        <w:lang w:val="nl-NL"/>
      </w:rPr>
      <w:t xml:space="preserve">Modelverslag: versie </w:t>
    </w:r>
    <w:r w:rsidR="000E73B7">
      <w:rPr>
        <w:b/>
        <w:i w:val="0"/>
        <w:lang w:val="nl-NL"/>
      </w:rPr>
      <w:t>2</w:t>
    </w:r>
    <w:r w:rsidR="00937BED">
      <w:rPr>
        <w:b/>
        <w:i w:val="0"/>
        <w:lang w:val="nl-NL"/>
      </w:rPr>
      <w:t>0</w:t>
    </w:r>
    <w:r w:rsidR="000E73B7">
      <w:rPr>
        <w:b/>
        <w:i w:val="0"/>
        <w:lang w:val="nl-NL"/>
      </w:rPr>
      <w:t xml:space="preserve"> april </w:t>
    </w:r>
    <w:r>
      <w:rPr>
        <w:b/>
        <w:i w:val="0"/>
        <w:lang w:val="nl-NL"/>
      </w:rPr>
      <w:t>201</w:t>
    </w:r>
    <w:r w:rsidR="000E73B7">
      <w:rPr>
        <w:b/>
        <w:i w:val="0"/>
        <w:lang w:val="nl-NL"/>
      </w:rPr>
      <w:t>7</w:t>
    </w:r>
  </w:p>
  <w:p w:rsidR="00774528" w:rsidRPr="00726B67" w:rsidRDefault="00774528"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54BD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64C"/>
    <w:multiLevelType w:val="hybridMultilevel"/>
    <w:tmpl w:val="9D9AB7D0"/>
    <w:lvl w:ilvl="0" w:tplc="CF14D292">
      <w:numFmt w:val="bullet"/>
      <w:lvlText w:val="-"/>
      <w:lvlJc w:val="left"/>
      <w:pPr>
        <w:tabs>
          <w:tab w:val="num" w:pos="340"/>
        </w:tabs>
        <w:ind w:left="340" w:hanging="34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F4055"/>
    <w:multiLevelType w:val="hybridMultilevel"/>
    <w:tmpl w:val="84FE97C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4"/>
  </w:num>
  <w:num w:numId="25">
    <w:abstractNumId w:val="2"/>
  </w:num>
  <w:num w:numId="26">
    <w:abstractNumId w:val="6"/>
  </w:num>
  <w:num w:numId="27">
    <w:abstractNumId w:val="5"/>
  </w:num>
  <w:num w:numId="28">
    <w:abstractNumId w:val="3"/>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4616"/>
    <w:rsid w:val="00006736"/>
    <w:rsid w:val="00006D54"/>
    <w:rsid w:val="00007743"/>
    <w:rsid w:val="00013558"/>
    <w:rsid w:val="00014BCF"/>
    <w:rsid w:val="000166B7"/>
    <w:rsid w:val="00017BF2"/>
    <w:rsid w:val="000226A8"/>
    <w:rsid w:val="00026146"/>
    <w:rsid w:val="00026438"/>
    <w:rsid w:val="0002699F"/>
    <w:rsid w:val="00026AE4"/>
    <w:rsid w:val="00031D39"/>
    <w:rsid w:val="00033903"/>
    <w:rsid w:val="00035B29"/>
    <w:rsid w:val="00047CB8"/>
    <w:rsid w:val="00051913"/>
    <w:rsid w:val="000560B2"/>
    <w:rsid w:val="00063FD5"/>
    <w:rsid w:val="00070CAC"/>
    <w:rsid w:val="00073C16"/>
    <w:rsid w:val="00080819"/>
    <w:rsid w:val="00085C6B"/>
    <w:rsid w:val="00086504"/>
    <w:rsid w:val="000909CC"/>
    <w:rsid w:val="00093368"/>
    <w:rsid w:val="00095F56"/>
    <w:rsid w:val="000962E9"/>
    <w:rsid w:val="000974E1"/>
    <w:rsid w:val="000A0B96"/>
    <w:rsid w:val="000A67D8"/>
    <w:rsid w:val="000B11E9"/>
    <w:rsid w:val="000B1B91"/>
    <w:rsid w:val="000B5B7A"/>
    <w:rsid w:val="000B5E7A"/>
    <w:rsid w:val="000C0327"/>
    <w:rsid w:val="000C222D"/>
    <w:rsid w:val="000C485D"/>
    <w:rsid w:val="000D7946"/>
    <w:rsid w:val="000E08C7"/>
    <w:rsid w:val="000E1947"/>
    <w:rsid w:val="000E600E"/>
    <w:rsid w:val="000E73B7"/>
    <w:rsid w:val="000F5776"/>
    <w:rsid w:val="000F70CD"/>
    <w:rsid w:val="00105CF3"/>
    <w:rsid w:val="001112D8"/>
    <w:rsid w:val="00111EA1"/>
    <w:rsid w:val="00116918"/>
    <w:rsid w:val="00117A36"/>
    <w:rsid w:val="001214EB"/>
    <w:rsid w:val="00121E39"/>
    <w:rsid w:val="00121F09"/>
    <w:rsid w:val="00123F3D"/>
    <w:rsid w:val="00127FA8"/>
    <w:rsid w:val="00136126"/>
    <w:rsid w:val="00162E98"/>
    <w:rsid w:val="00163889"/>
    <w:rsid w:val="001638C0"/>
    <w:rsid w:val="00171E15"/>
    <w:rsid w:val="001772B7"/>
    <w:rsid w:val="0017781A"/>
    <w:rsid w:val="00183FBD"/>
    <w:rsid w:val="0018474A"/>
    <w:rsid w:val="00185962"/>
    <w:rsid w:val="001918AE"/>
    <w:rsid w:val="00195E62"/>
    <w:rsid w:val="00196B9D"/>
    <w:rsid w:val="001A68CC"/>
    <w:rsid w:val="001B0BDE"/>
    <w:rsid w:val="001B1B52"/>
    <w:rsid w:val="001B4FD6"/>
    <w:rsid w:val="001B507F"/>
    <w:rsid w:val="001C136E"/>
    <w:rsid w:val="001C1FA8"/>
    <w:rsid w:val="001D4BA0"/>
    <w:rsid w:val="001D4F9F"/>
    <w:rsid w:val="001D6AFC"/>
    <w:rsid w:val="001D6D27"/>
    <w:rsid w:val="001E049D"/>
    <w:rsid w:val="001E5C4A"/>
    <w:rsid w:val="001F09F8"/>
    <w:rsid w:val="001F171F"/>
    <w:rsid w:val="00202DC8"/>
    <w:rsid w:val="00204845"/>
    <w:rsid w:val="0021066C"/>
    <w:rsid w:val="0021758C"/>
    <w:rsid w:val="002222D2"/>
    <w:rsid w:val="00222834"/>
    <w:rsid w:val="00222B0F"/>
    <w:rsid w:val="00230422"/>
    <w:rsid w:val="00233260"/>
    <w:rsid w:val="002432D4"/>
    <w:rsid w:val="00244F1F"/>
    <w:rsid w:val="00247BF6"/>
    <w:rsid w:val="002568F7"/>
    <w:rsid w:val="00260AA7"/>
    <w:rsid w:val="00262F17"/>
    <w:rsid w:val="002675CE"/>
    <w:rsid w:val="00270B9A"/>
    <w:rsid w:val="002776B0"/>
    <w:rsid w:val="00277BE2"/>
    <w:rsid w:val="00282499"/>
    <w:rsid w:val="00285CDB"/>
    <w:rsid w:val="0029439D"/>
    <w:rsid w:val="00296E46"/>
    <w:rsid w:val="002A2093"/>
    <w:rsid w:val="002A4E22"/>
    <w:rsid w:val="002A7844"/>
    <w:rsid w:val="002B27B2"/>
    <w:rsid w:val="002B43F8"/>
    <w:rsid w:val="002C67FA"/>
    <w:rsid w:val="002D6E98"/>
    <w:rsid w:val="002E7DBD"/>
    <w:rsid w:val="002F2B4F"/>
    <w:rsid w:val="002F5A86"/>
    <w:rsid w:val="0030077C"/>
    <w:rsid w:val="00301999"/>
    <w:rsid w:val="003051AC"/>
    <w:rsid w:val="00305450"/>
    <w:rsid w:val="003101AA"/>
    <w:rsid w:val="0031362C"/>
    <w:rsid w:val="00313877"/>
    <w:rsid w:val="00320BC6"/>
    <w:rsid w:val="0032322B"/>
    <w:rsid w:val="0032433E"/>
    <w:rsid w:val="003329E4"/>
    <w:rsid w:val="00343D53"/>
    <w:rsid w:val="00347459"/>
    <w:rsid w:val="00360665"/>
    <w:rsid w:val="00364B8F"/>
    <w:rsid w:val="0036785A"/>
    <w:rsid w:val="003678D3"/>
    <w:rsid w:val="003823E8"/>
    <w:rsid w:val="003863ED"/>
    <w:rsid w:val="003901ED"/>
    <w:rsid w:val="00391D45"/>
    <w:rsid w:val="00392952"/>
    <w:rsid w:val="003945AB"/>
    <w:rsid w:val="0039594A"/>
    <w:rsid w:val="003966E4"/>
    <w:rsid w:val="00397A10"/>
    <w:rsid w:val="00397ED0"/>
    <w:rsid w:val="003A039D"/>
    <w:rsid w:val="003B1DF7"/>
    <w:rsid w:val="003B5078"/>
    <w:rsid w:val="003B6DAA"/>
    <w:rsid w:val="003B6DD2"/>
    <w:rsid w:val="003B7B02"/>
    <w:rsid w:val="003D11E3"/>
    <w:rsid w:val="003E093E"/>
    <w:rsid w:val="003E7704"/>
    <w:rsid w:val="003F0F61"/>
    <w:rsid w:val="003F5D8B"/>
    <w:rsid w:val="003F5E42"/>
    <w:rsid w:val="00400642"/>
    <w:rsid w:val="004016C1"/>
    <w:rsid w:val="00410507"/>
    <w:rsid w:val="0041244E"/>
    <w:rsid w:val="00412C41"/>
    <w:rsid w:val="004166DE"/>
    <w:rsid w:val="00426151"/>
    <w:rsid w:val="004271EF"/>
    <w:rsid w:val="004328B1"/>
    <w:rsid w:val="00435E65"/>
    <w:rsid w:val="00437433"/>
    <w:rsid w:val="00441B54"/>
    <w:rsid w:val="004422A8"/>
    <w:rsid w:val="00446A2F"/>
    <w:rsid w:val="004509B3"/>
    <w:rsid w:val="00451A37"/>
    <w:rsid w:val="004570E7"/>
    <w:rsid w:val="00460627"/>
    <w:rsid w:val="00472970"/>
    <w:rsid w:val="004768E4"/>
    <w:rsid w:val="00480FF6"/>
    <w:rsid w:val="00481586"/>
    <w:rsid w:val="0048524B"/>
    <w:rsid w:val="00487DC2"/>
    <w:rsid w:val="0049113B"/>
    <w:rsid w:val="004A1091"/>
    <w:rsid w:val="004A20D4"/>
    <w:rsid w:val="004A6576"/>
    <w:rsid w:val="004B2313"/>
    <w:rsid w:val="004B4CE9"/>
    <w:rsid w:val="004C1426"/>
    <w:rsid w:val="004C4F02"/>
    <w:rsid w:val="004D1796"/>
    <w:rsid w:val="004D1E0F"/>
    <w:rsid w:val="004D2EA9"/>
    <w:rsid w:val="004D53A4"/>
    <w:rsid w:val="004D636F"/>
    <w:rsid w:val="004D6389"/>
    <w:rsid w:val="004E2179"/>
    <w:rsid w:val="004E2BAA"/>
    <w:rsid w:val="004E3906"/>
    <w:rsid w:val="004E5359"/>
    <w:rsid w:val="004E58BD"/>
    <w:rsid w:val="004F0FC8"/>
    <w:rsid w:val="004F4C54"/>
    <w:rsid w:val="004F568A"/>
    <w:rsid w:val="00501E5D"/>
    <w:rsid w:val="00504EF7"/>
    <w:rsid w:val="005170F5"/>
    <w:rsid w:val="00526A80"/>
    <w:rsid w:val="00526DD4"/>
    <w:rsid w:val="00536F9D"/>
    <w:rsid w:val="00541EE4"/>
    <w:rsid w:val="00556C55"/>
    <w:rsid w:val="00562C2E"/>
    <w:rsid w:val="00567EF7"/>
    <w:rsid w:val="00575620"/>
    <w:rsid w:val="00585A82"/>
    <w:rsid w:val="00591507"/>
    <w:rsid w:val="00596DB5"/>
    <w:rsid w:val="00597C92"/>
    <w:rsid w:val="005A4655"/>
    <w:rsid w:val="005A4B4C"/>
    <w:rsid w:val="005A6ADF"/>
    <w:rsid w:val="005A766D"/>
    <w:rsid w:val="005B0A0B"/>
    <w:rsid w:val="005B4854"/>
    <w:rsid w:val="005C3F4A"/>
    <w:rsid w:val="005C407C"/>
    <w:rsid w:val="005D4530"/>
    <w:rsid w:val="005D4C20"/>
    <w:rsid w:val="005D5DFC"/>
    <w:rsid w:val="005E0F85"/>
    <w:rsid w:val="005E3524"/>
    <w:rsid w:val="005E44B7"/>
    <w:rsid w:val="005E52B0"/>
    <w:rsid w:val="005F15C5"/>
    <w:rsid w:val="005F4616"/>
    <w:rsid w:val="00600EEC"/>
    <w:rsid w:val="0060460C"/>
    <w:rsid w:val="00606761"/>
    <w:rsid w:val="00607663"/>
    <w:rsid w:val="0060793E"/>
    <w:rsid w:val="006139A7"/>
    <w:rsid w:val="00614288"/>
    <w:rsid w:val="00621D99"/>
    <w:rsid w:val="0062275F"/>
    <w:rsid w:val="0062296C"/>
    <w:rsid w:val="00625AE4"/>
    <w:rsid w:val="006311C7"/>
    <w:rsid w:val="00643CAE"/>
    <w:rsid w:val="0065092A"/>
    <w:rsid w:val="00654E59"/>
    <w:rsid w:val="0065609E"/>
    <w:rsid w:val="00657F1D"/>
    <w:rsid w:val="00674D1C"/>
    <w:rsid w:val="00675BF9"/>
    <w:rsid w:val="006A0DCB"/>
    <w:rsid w:val="006A72F4"/>
    <w:rsid w:val="006B0DC1"/>
    <w:rsid w:val="006B41BF"/>
    <w:rsid w:val="006B72E8"/>
    <w:rsid w:val="006C0D83"/>
    <w:rsid w:val="006C1629"/>
    <w:rsid w:val="006C3410"/>
    <w:rsid w:val="006C63A6"/>
    <w:rsid w:val="006C70F6"/>
    <w:rsid w:val="006D314E"/>
    <w:rsid w:val="006D511A"/>
    <w:rsid w:val="006E4CBD"/>
    <w:rsid w:val="007148A3"/>
    <w:rsid w:val="007157FB"/>
    <w:rsid w:val="00715F40"/>
    <w:rsid w:val="00717FA1"/>
    <w:rsid w:val="00726A9B"/>
    <w:rsid w:val="00726B67"/>
    <w:rsid w:val="007274E7"/>
    <w:rsid w:val="00731873"/>
    <w:rsid w:val="00732362"/>
    <w:rsid w:val="00733E01"/>
    <w:rsid w:val="00735915"/>
    <w:rsid w:val="007417E6"/>
    <w:rsid w:val="00745061"/>
    <w:rsid w:val="0074512F"/>
    <w:rsid w:val="00745267"/>
    <w:rsid w:val="007667EA"/>
    <w:rsid w:val="00767883"/>
    <w:rsid w:val="007714DD"/>
    <w:rsid w:val="00771996"/>
    <w:rsid w:val="00772122"/>
    <w:rsid w:val="00774528"/>
    <w:rsid w:val="007815E3"/>
    <w:rsid w:val="00784133"/>
    <w:rsid w:val="00785B5D"/>
    <w:rsid w:val="00797029"/>
    <w:rsid w:val="007A6ACC"/>
    <w:rsid w:val="007B1C67"/>
    <w:rsid w:val="007B2F34"/>
    <w:rsid w:val="007C1D19"/>
    <w:rsid w:val="007C5B21"/>
    <w:rsid w:val="007D1E95"/>
    <w:rsid w:val="007D2891"/>
    <w:rsid w:val="007D3911"/>
    <w:rsid w:val="007D7757"/>
    <w:rsid w:val="007E2F01"/>
    <w:rsid w:val="007E6183"/>
    <w:rsid w:val="007E6D13"/>
    <w:rsid w:val="007E7302"/>
    <w:rsid w:val="007F02D6"/>
    <w:rsid w:val="007F33E4"/>
    <w:rsid w:val="007F3A47"/>
    <w:rsid w:val="007F59F3"/>
    <w:rsid w:val="007F7E9F"/>
    <w:rsid w:val="00805DA6"/>
    <w:rsid w:val="00805F8C"/>
    <w:rsid w:val="00812397"/>
    <w:rsid w:val="00820973"/>
    <w:rsid w:val="00823D28"/>
    <w:rsid w:val="00823E7F"/>
    <w:rsid w:val="008341F4"/>
    <w:rsid w:val="00834EAF"/>
    <w:rsid w:val="0084233A"/>
    <w:rsid w:val="00845B27"/>
    <w:rsid w:val="008502B7"/>
    <w:rsid w:val="00855582"/>
    <w:rsid w:val="008563CF"/>
    <w:rsid w:val="00856849"/>
    <w:rsid w:val="00864A80"/>
    <w:rsid w:val="00866276"/>
    <w:rsid w:val="0087086B"/>
    <w:rsid w:val="00871A7D"/>
    <w:rsid w:val="00877783"/>
    <w:rsid w:val="00880990"/>
    <w:rsid w:val="0088301E"/>
    <w:rsid w:val="00893B89"/>
    <w:rsid w:val="00897972"/>
    <w:rsid w:val="008B14F1"/>
    <w:rsid w:val="008C3A72"/>
    <w:rsid w:val="008C7361"/>
    <w:rsid w:val="008D0A0B"/>
    <w:rsid w:val="008D3559"/>
    <w:rsid w:val="008F2298"/>
    <w:rsid w:val="008F4CC5"/>
    <w:rsid w:val="00900437"/>
    <w:rsid w:val="00936271"/>
    <w:rsid w:val="00937BED"/>
    <w:rsid w:val="009404EB"/>
    <w:rsid w:val="009478B4"/>
    <w:rsid w:val="009522B4"/>
    <w:rsid w:val="00952AF0"/>
    <w:rsid w:val="00953285"/>
    <w:rsid w:val="009553CA"/>
    <w:rsid w:val="00956385"/>
    <w:rsid w:val="009576F7"/>
    <w:rsid w:val="0096008D"/>
    <w:rsid w:val="0096450B"/>
    <w:rsid w:val="00973629"/>
    <w:rsid w:val="00983868"/>
    <w:rsid w:val="00986041"/>
    <w:rsid w:val="00991B37"/>
    <w:rsid w:val="00991E21"/>
    <w:rsid w:val="00992CD0"/>
    <w:rsid w:val="009937EF"/>
    <w:rsid w:val="009960A9"/>
    <w:rsid w:val="009A633F"/>
    <w:rsid w:val="009B73D9"/>
    <w:rsid w:val="009C1065"/>
    <w:rsid w:val="009C1931"/>
    <w:rsid w:val="009C3459"/>
    <w:rsid w:val="009D07E4"/>
    <w:rsid w:val="009F570D"/>
    <w:rsid w:val="009F6BF6"/>
    <w:rsid w:val="009F72E9"/>
    <w:rsid w:val="00A02F56"/>
    <w:rsid w:val="00A13ADE"/>
    <w:rsid w:val="00A16682"/>
    <w:rsid w:val="00A21005"/>
    <w:rsid w:val="00A2195E"/>
    <w:rsid w:val="00A23741"/>
    <w:rsid w:val="00A26FFF"/>
    <w:rsid w:val="00A35DA6"/>
    <w:rsid w:val="00A37914"/>
    <w:rsid w:val="00A4017E"/>
    <w:rsid w:val="00A44C99"/>
    <w:rsid w:val="00A44F0D"/>
    <w:rsid w:val="00A46BA9"/>
    <w:rsid w:val="00A50B6B"/>
    <w:rsid w:val="00A52A1B"/>
    <w:rsid w:val="00A52E66"/>
    <w:rsid w:val="00A62931"/>
    <w:rsid w:val="00A66A9D"/>
    <w:rsid w:val="00A6719A"/>
    <w:rsid w:val="00A7282D"/>
    <w:rsid w:val="00A73597"/>
    <w:rsid w:val="00A7409D"/>
    <w:rsid w:val="00A81E14"/>
    <w:rsid w:val="00A82046"/>
    <w:rsid w:val="00A9082C"/>
    <w:rsid w:val="00A91C5E"/>
    <w:rsid w:val="00A94C93"/>
    <w:rsid w:val="00A95DB1"/>
    <w:rsid w:val="00A969BA"/>
    <w:rsid w:val="00AA1327"/>
    <w:rsid w:val="00AA65DA"/>
    <w:rsid w:val="00AA7AC1"/>
    <w:rsid w:val="00AB0C89"/>
    <w:rsid w:val="00AB1B59"/>
    <w:rsid w:val="00AB2D00"/>
    <w:rsid w:val="00AB4645"/>
    <w:rsid w:val="00AB705A"/>
    <w:rsid w:val="00AC0AFB"/>
    <w:rsid w:val="00AC0B7E"/>
    <w:rsid w:val="00AD2F13"/>
    <w:rsid w:val="00AE4EAC"/>
    <w:rsid w:val="00AF2B28"/>
    <w:rsid w:val="00B0055E"/>
    <w:rsid w:val="00B067C3"/>
    <w:rsid w:val="00B078C9"/>
    <w:rsid w:val="00B10421"/>
    <w:rsid w:val="00B10726"/>
    <w:rsid w:val="00B15774"/>
    <w:rsid w:val="00B456B9"/>
    <w:rsid w:val="00B6003A"/>
    <w:rsid w:val="00B64C8A"/>
    <w:rsid w:val="00B70C36"/>
    <w:rsid w:val="00B72757"/>
    <w:rsid w:val="00B73F41"/>
    <w:rsid w:val="00B74B5D"/>
    <w:rsid w:val="00B75C79"/>
    <w:rsid w:val="00B919B1"/>
    <w:rsid w:val="00B95FA2"/>
    <w:rsid w:val="00BA19F8"/>
    <w:rsid w:val="00BA7187"/>
    <w:rsid w:val="00BB4205"/>
    <w:rsid w:val="00BB471E"/>
    <w:rsid w:val="00BC6D4A"/>
    <w:rsid w:val="00BD0C3D"/>
    <w:rsid w:val="00BD23EE"/>
    <w:rsid w:val="00BD4041"/>
    <w:rsid w:val="00BD4CB7"/>
    <w:rsid w:val="00C01F44"/>
    <w:rsid w:val="00C04131"/>
    <w:rsid w:val="00C14E6B"/>
    <w:rsid w:val="00C1567E"/>
    <w:rsid w:val="00C3198D"/>
    <w:rsid w:val="00C34F40"/>
    <w:rsid w:val="00C40601"/>
    <w:rsid w:val="00C40ACC"/>
    <w:rsid w:val="00C45233"/>
    <w:rsid w:val="00C463D7"/>
    <w:rsid w:val="00C517B4"/>
    <w:rsid w:val="00C56FE3"/>
    <w:rsid w:val="00C650D7"/>
    <w:rsid w:val="00C7163B"/>
    <w:rsid w:val="00C74808"/>
    <w:rsid w:val="00C7552F"/>
    <w:rsid w:val="00C85C1D"/>
    <w:rsid w:val="00C86321"/>
    <w:rsid w:val="00C91CEE"/>
    <w:rsid w:val="00CA312E"/>
    <w:rsid w:val="00CA4E0C"/>
    <w:rsid w:val="00CA5AD8"/>
    <w:rsid w:val="00CB177A"/>
    <w:rsid w:val="00CB2E1D"/>
    <w:rsid w:val="00CC633F"/>
    <w:rsid w:val="00CF2E34"/>
    <w:rsid w:val="00CF3316"/>
    <w:rsid w:val="00CF45F4"/>
    <w:rsid w:val="00CF521A"/>
    <w:rsid w:val="00D006B9"/>
    <w:rsid w:val="00D06D23"/>
    <w:rsid w:val="00D11E7B"/>
    <w:rsid w:val="00D120AA"/>
    <w:rsid w:val="00D13A08"/>
    <w:rsid w:val="00D147D9"/>
    <w:rsid w:val="00D14A7B"/>
    <w:rsid w:val="00D22C97"/>
    <w:rsid w:val="00D25AF7"/>
    <w:rsid w:val="00D25F2F"/>
    <w:rsid w:val="00D36644"/>
    <w:rsid w:val="00D3784E"/>
    <w:rsid w:val="00D44C41"/>
    <w:rsid w:val="00D6482E"/>
    <w:rsid w:val="00D67671"/>
    <w:rsid w:val="00D67B11"/>
    <w:rsid w:val="00D74FC5"/>
    <w:rsid w:val="00D83C8B"/>
    <w:rsid w:val="00D845A6"/>
    <w:rsid w:val="00D90B3A"/>
    <w:rsid w:val="00DB209B"/>
    <w:rsid w:val="00DB3493"/>
    <w:rsid w:val="00DB49A3"/>
    <w:rsid w:val="00DC0366"/>
    <w:rsid w:val="00DC2539"/>
    <w:rsid w:val="00DC2572"/>
    <w:rsid w:val="00DC743B"/>
    <w:rsid w:val="00DD1B05"/>
    <w:rsid w:val="00DD2A42"/>
    <w:rsid w:val="00DD2EB6"/>
    <w:rsid w:val="00DE0D5C"/>
    <w:rsid w:val="00DE3ACA"/>
    <w:rsid w:val="00DE4608"/>
    <w:rsid w:val="00DE4795"/>
    <w:rsid w:val="00DE6965"/>
    <w:rsid w:val="00DE7C9F"/>
    <w:rsid w:val="00DF2B61"/>
    <w:rsid w:val="00DF56F5"/>
    <w:rsid w:val="00DF7845"/>
    <w:rsid w:val="00E02DE6"/>
    <w:rsid w:val="00E11145"/>
    <w:rsid w:val="00E11689"/>
    <w:rsid w:val="00E148C6"/>
    <w:rsid w:val="00E14AE3"/>
    <w:rsid w:val="00E1577F"/>
    <w:rsid w:val="00E17982"/>
    <w:rsid w:val="00E22415"/>
    <w:rsid w:val="00E241CF"/>
    <w:rsid w:val="00E360E9"/>
    <w:rsid w:val="00E42423"/>
    <w:rsid w:val="00E46E80"/>
    <w:rsid w:val="00E47F2B"/>
    <w:rsid w:val="00E50538"/>
    <w:rsid w:val="00E532EF"/>
    <w:rsid w:val="00E5513F"/>
    <w:rsid w:val="00E55944"/>
    <w:rsid w:val="00E6055C"/>
    <w:rsid w:val="00E64838"/>
    <w:rsid w:val="00E65B5A"/>
    <w:rsid w:val="00E66F8B"/>
    <w:rsid w:val="00E676C8"/>
    <w:rsid w:val="00E73118"/>
    <w:rsid w:val="00E74080"/>
    <w:rsid w:val="00E746C7"/>
    <w:rsid w:val="00E921AA"/>
    <w:rsid w:val="00E95A27"/>
    <w:rsid w:val="00EA7FF6"/>
    <w:rsid w:val="00EB022F"/>
    <w:rsid w:val="00EB1CF4"/>
    <w:rsid w:val="00EB2091"/>
    <w:rsid w:val="00EB5A2B"/>
    <w:rsid w:val="00EB7706"/>
    <w:rsid w:val="00EB7DBF"/>
    <w:rsid w:val="00EC5B48"/>
    <w:rsid w:val="00EC7739"/>
    <w:rsid w:val="00ED3AED"/>
    <w:rsid w:val="00EE28C1"/>
    <w:rsid w:val="00EE4D6F"/>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5E70"/>
    <w:rsid w:val="00F56D23"/>
    <w:rsid w:val="00F60EB4"/>
    <w:rsid w:val="00F72515"/>
    <w:rsid w:val="00F833A1"/>
    <w:rsid w:val="00F86FCD"/>
    <w:rsid w:val="00F96797"/>
    <w:rsid w:val="00FA1B3F"/>
    <w:rsid w:val="00FB3B27"/>
    <w:rsid w:val="00FB699F"/>
    <w:rsid w:val="00FB6A5C"/>
    <w:rsid w:val="00FB752B"/>
    <w:rsid w:val="00FC0050"/>
    <w:rsid w:val="00FC63A4"/>
    <w:rsid w:val="00FC65DE"/>
    <w:rsid w:val="00FD3651"/>
    <w:rsid w:val="00FD5D86"/>
    <w:rsid w:val="00FE09F2"/>
    <w:rsid w:val="00FE493B"/>
    <w:rsid w:val="00FE5AB0"/>
    <w:rsid w:val="00FF1D00"/>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AF49AC-387B-4F22-8CBD-5F3F1BD9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hanging="964"/>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left="0"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ind w:left="0" w:hanging="964"/>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ind w:left="0"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ind w:left="0" w:hanging="964"/>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Cs w:val="20"/>
      <w:lang w:val="nl-BE"/>
    </w:rPr>
  </w:style>
  <w:style w:type="character" w:customStyle="1" w:styleId="Heading2Char">
    <w:name w:val="Heading 2 Char"/>
    <w:link w:val="Heading2"/>
    <w:uiPriority w:val="99"/>
    <w:semiHidden/>
    <w:locked/>
    <w:rsid w:val="00FE5AB0"/>
    <w:rPr>
      <w:rFonts w:cs="Times New Roman"/>
      <w:b/>
      <w:sz w:val="22"/>
      <w:lang w:val="nl-BE" w:eastAsia="en-US" w:bidi="ar-SA"/>
    </w:rPr>
  </w:style>
  <w:style w:type="character" w:customStyle="1" w:styleId="Heading3Char">
    <w:name w:val="Heading 3 Char"/>
    <w:link w:val="Heading3"/>
    <w:uiPriority w:val="99"/>
    <w:semiHidden/>
    <w:locked/>
    <w:rsid w:val="00FE5AB0"/>
    <w:rPr>
      <w:rFonts w:cs="Times New Roman"/>
      <w:b/>
      <w:sz w:val="24"/>
      <w:lang w:val="nl-BE" w:eastAsia="en-US" w:bidi="ar-SA"/>
    </w:rPr>
  </w:style>
  <w:style w:type="character" w:customStyle="1" w:styleId="Heading4Char">
    <w:name w:val="Heading 4 Char"/>
    <w:link w:val="Heading4"/>
    <w:uiPriority w:val="99"/>
    <w:semiHidden/>
    <w:locked/>
    <w:rsid w:val="00FE5AB0"/>
    <w:rPr>
      <w:rFonts w:cs="Times New Roman"/>
      <w:b/>
      <w:i/>
      <w:sz w:val="24"/>
      <w:lang w:val="nl-BE" w:eastAsia="en-US" w:bidi="ar-SA"/>
    </w:rPr>
  </w:style>
  <w:style w:type="character" w:customStyle="1" w:styleId="Heading5Char">
    <w:name w:val="Heading 5 Char"/>
    <w:link w:val="Heading5"/>
    <w:uiPriority w:val="99"/>
    <w:semiHidden/>
    <w:locked/>
    <w:rsid w:val="00FE5AB0"/>
    <w:rPr>
      <w:rFonts w:cs="Times New Roman"/>
      <w:i/>
      <w:sz w:val="22"/>
      <w:lang w:val="nl-BE" w:eastAsia="en-US" w:bidi="ar-SA"/>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24"/>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link w:val="EndnoteText"/>
    <w:uiPriority w:val="99"/>
    <w:semiHidden/>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 w:type="paragraph" w:styleId="Revision">
    <w:name w:val="Revision"/>
    <w:hidden/>
    <w:uiPriority w:val="99"/>
    <w:semiHidden/>
    <w:rsid w:val="00AC0AF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M7HXY6ZP62CE-1429-113</_dlc_DocId>
    <_dlc_DocIdUrl xmlns="faaac0df-efe7-4498-8ba6-14a9bebb9fed">
      <Url>https://doc.ibr-ire.be/nl/_layouts/15/DocIdRedir.aspx?ID=M7HXY6ZP62CE-1429-113</Url>
      <Description>M7HXY6ZP62CE-1429-113</Description>
    </_dlc_DocIdUrl>
  </documentManagement>
</p:properties>
</file>

<file path=customXml/itemProps1.xml><?xml version="1.0" encoding="utf-8"?>
<ds:datastoreItem xmlns:ds="http://schemas.openxmlformats.org/officeDocument/2006/customXml" ds:itemID="{2AD8F6AB-181B-43B3-8867-A36548C6E44D}"/>
</file>

<file path=customXml/itemProps2.xml><?xml version="1.0" encoding="utf-8"?>
<ds:datastoreItem xmlns:ds="http://schemas.openxmlformats.org/officeDocument/2006/customXml" ds:itemID="{757618D4-D8E6-4502-BD6C-16F384AE0A69}"/>
</file>

<file path=customXml/itemProps3.xml><?xml version="1.0" encoding="utf-8"?>
<ds:datastoreItem xmlns:ds="http://schemas.openxmlformats.org/officeDocument/2006/customXml" ds:itemID="{03B2618D-6A92-4684-B7BE-46E2CCEAC16A}"/>
</file>

<file path=customXml/itemProps4.xml><?xml version="1.0" encoding="utf-8"?>
<ds:datastoreItem xmlns:ds="http://schemas.openxmlformats.org/officeDocument/2006/customXml" ds:itemID="{D6BAAA8E-0D90-4753-A34A-7B925505ADDD}"/>
</file>

<file path=customXml/itemProps5.xml><?xml version="1.0" encoding="utf-8"?>
<ds:datastoreItem xmlns:ds="http://schemas.openxmlformats.org/officeDocument/2006/customXml" ds:itemID="{C650E5AE-34D3-41F9-8822-4295B80501B1}"/>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Blank document</vt:lpstr>
    </vt:vector>
  </TitlesOfParts>
  <Company>KPMG</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Roelandt, Luk</cp:lastModifiedBy>
  <cp:revision>6</cp:revision>
  <cp:lastPrinted>2010-05-05T08:52:00Z</cp:lastPrinted>
  <dcterms:created xsi:type="dcterms:W3CDTF">2017-04-20T07:26:00Z</dcterms:created>
  <dcterms:modified xsi:type="dcterms:W3CDTF">2017-04-20T09:18:00Z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865d0534-0fc7-4f70-aa19-8d46c20357b1</vt:lpwstr>
  </property>
  <property fmtid="{D5CDD505-2E9C-101B-9397-08002B2CF9AE}" pid="4" name="URL">
    <vt:lpwstr/>
  </property>
  <property fmtid="{D5CDD505-2E9C-101B-9397-08002B2CF9AE}" pid="5" name="DocumentSetDescription">
    <vt:lpwstr/>
  </property>
</Properties>
</file>